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5F" w:rsidRPr="005D50EB" w:rsidRDefault="005D50EB" w:rsidP="000A3C95">
      <w:pPr>
        <w:spacing w:line="276" w:lineRule="auto"/>
        <w:rPr>
          <w:b/>
          <w:color w:val="767171" w:themeColor="background2" w:themeShade="80"/>
        </w:rPr>
      </w:pPr>
      <w:r w:rsidRPr="005D50EB">
        <w:rPr>
          <w:b/>
          <w:color w:val="767171" w:themeColor="background2" w:themeShade="80"/>
        </w:rPr>
        <w:t xml:space="preserve">Modul </w:t>
      </w:r>
      <w:r w:rsidR="006D012F">
        <w:rPr>
          <w:b/>
          <w:color w:val="767171" w:themeColor="background2" w:themeShade="80"/>
        </w:rPr>
        <w:t>2</w:t>
      </w:r>
      <w:r w:rsidRPr="005D50EB">
        <w:rPr>
          <w:b/>
          <w:color w:val="767171" w:themeColor="background2" w:themeShade="80"/>
        </w:rPr>
        <w:t xml:space="preserve"> / </w:t>
      </w:r>
      <w:r w:rsidR="00891C5F" w:rsidRPr="005D50EB">
        <w:rPr>
          <w:b/>
          <w:color w:val="767171" w:themeColor="background2" w:themeShade="80"/>
        </w:rPr>
        <w:t>Anhang</w:t>
      </w:r>
      <w:r w:rsidR="006E0163">
        <w:rPr>
          <w:b/>
          <w:color w:val="767171" w:themeColor="background2" w:themeShade="80"/>
        </w:rPr>
        <w:t xml:space="preserve"> </w:t>
      </w:r>
      <w:r w:rsidR="006D012F">
        <w:rPr>
          <w:b/>
          <w:color w:val="767171" w:themeColor="background2" w:themeShade="80"/>
        </w:rPr>
        <w:t>1</w:t>
      </w:r>
    </w:p>
    <w:p w:rsidR="00891C5F" w:rsidRDefault="00891C5F" w:rsidP="000A3C95">
      <w:pPr>
        <w:spacing w:line="276" w:lineRule="auto"/>
      </w:pPr>
    </w:p>
    <w:p w:rsidR="00891C5F" w:rsidRPr="00891C5F" w:rsidRDefault="006D012F" w:rsidP="000A3C95">
      <w:pPr>
        <w:spacing w:line="276" w:lineRule="auto"/>
        <w:rPr>
          <w:b/>
        </w:rPr>
      </w:pPr>
      <w:r>
        <w:rPr>
          <w:b/>
        </w:rPr>
        <w:t>1</w:t>
      </w:r>
      <w:r w:rsidR="00891C5F" w:rsidRPr="00891C5F">
        <w:rPr>
          <w:b/>
        </w:rPr>
        <w:t xml:space="preserve">. </w:t>
      </w:r>
      <w:r w:rsidRPr="006D012F">
        <w:rPr>
          <w:b/>
        </w:rPr>
        <w:t>Muster einer allgemeinen Vorschrift (Verbundtarif)</w:t>
      </w:r>
    </w:p>
    <w:p w:rsidR="00891C5F" w:rsidRPr="00891C5F" w:rsidRDefault="00891C5F" w:rsidP="00F30093">
      <w:pPr>
        <w:spacing w:line="276" w:lineRule="auto"/>
        <w:jc w:val="center"/>
        <w:rPr>
          <w:b/>
          <w:sz w:val="24"/>
          <w:szCs w:val="24"/>
        </w:rPr>
      </w:pPr>
    </w:p>
    <w:p w:rsidR="004E5660" w:rsidRPr="004E5660" w:rsidRDefault="004E5660" w:rsidP="004E5660">
      <w:pPr>
        <w:spacing w:line="276" w:lineRule="auto"/>
        <w:jc w:val="center"/>
        <w:rPr>
          <w:b/>
          <w:sz w:val="24"/>
          <w:szCs w:val="24"/>
        </w:rPr>
      </w:pPr>
      <w:r w:rsidRPr="004E5660">
        <w:rPr>
          <w:b/>
          <w:sz w:val="24"/>
          <w:szCs w:val="24"/>
        </w:rPr>
        <w:t>Satzung</w:t>
      </w:r>
    </w:p>
    <w:p w:rsidR="004E5660" w:rsidRPr="004E5660" w:rsidRDefault="004E5660" w:rsidP="004E5660">
      <w:pPr>
        <w:spacing w:line="276" w:lineRule="auto"/>
        <w:jc w:val="center"/>
        <w:rPr>
          <w:b/>
          <w:sz w:val="24"/>
          <w:szCs w:val="24"/>
        </w:rPr>
      </w:pPr>
      <w:r w:rsidRPr="004E5660">
        <w:rPr>
          <w:b/>
          <w:sz w:val="24"/>
          <w:szCs w:val="24"/>
        </w:rPr>
        <w:t>des Landkreises …</w:t>
      </w:r>
    </w:p>
    <w:p w:rsidR="004E5660" w:rsidRPr="004E5660" w:rsidRDefault="004E5660" w:rsidP="004E5660">
      <w:pPr>
        <w:spacing w:line="276" w:lineRule="auto"/>
        <w:jc w:val="center"/>
        <w:rPr>
          <w:b/>
          <w:sz w:val="24"/>
          <w:szCs w:val="24"/>
        </w:rPr>
      </w:pPr>
      <w:r w:rsidRPr="004E5660">
        <w:rPr>
          <w:b/>
          <w:sz w:val="24"/>
          <w:szCs w:val="24"/>
        </w:rPr>
        <w:t>über die Festsetzung des Gemeinschaftstarifs</w:t>
      </w:r>
    </w:p>
    <w:p w:rsidR="004E5660" w:rsidRPr="004E5660" w:rsidRDefault="004E5660" w:rsidP="004E5660">
      <w:pPr>
        <w:spacing w:line="276" w:lineRule="auto"/>
        <w:jc w:val="center"/>
        <w:rPr>
          <w:b/>
          <w:sz w:val="24"/>
          <w:szCs w:val="24"/>
        </w:rPr>
      </w:pPr>
      <w:r w:rsidRPr="004E5660">
        <w:rPr>
          <w:b/>
          <w:sz w:val="24"/>
          <w:szCs w:val="24"/>
        </w:rPr>
        <w:t xml:space="preserve">für den </w:t>
      </w:r>
      <w:r>
        <w:rPr>
          <w:b/>
          <w:sz w:val="24"/>
          <w:szCs w:val="24"/>
        </w:rPr>
        <w:t>…</w:t>
      </w:r>
      <w:bookmarkStart w:id="0" w:name="_GoBack"/>
      <w:bookmarkEnd w:id="0"/>
    </w:p>
    <w:p w:rsidR="00F30093" w:rsidRPr="00F30093" w:rsidRDefault="004E5660" w:rsidP="004E5660">
      <w:pPr>
        <w:spacing w:line="276" w:lineRule="auto"/>
        <w:jc w:val="center"/>
        <w:rPr>
          <w:sz w:val="20"/>
          <w:szCs w:val="20"/>
        </w:rPr>
      </w:pPr>
      <w:r w:rsidRPr="004E5660">
        <w:rPr>
          <w:b/>
          <w:sz w:val="24"/>
          <w:szCs w:val="24"/>
        </w:rPr>
        <w:t>als Höchsttarif</w:t>
      </w:r>
    </w:p>
    <w:p w:rsidR="00F30093" w:rsidRPr="00F30093" w:rsidRDefault="00F30093" w:rsidP="00F30093">
      <w:pPr>
        <w:spacing w:line="276" w:lineRule="auto"/>
        <w:jc w:val="center"/>
        <w:rPr>
          <w:sz w:val="20"/>
          <w:szCs w:val="20"/>
        </w:rPr>
      </w:pPr>
    </w:p>
    <w:p w:rsidR="004E5660" w:rsidRDefault="004E5660" w:rsidP="004E5660">
      <w:pPr>
        <w:spacing w:line="276" w:lineRule="auto"/>
        <w:jc w:val="both"/>
        <w:rPr>
          <w:sz w:val="20"/>
          <w:szCs w:val="20"/>
        </w:rPr>
      </w:pPr>
      <w:r w:rsidRPr="004E5660">
        <w:rPr>
          <w:sz w:val="20"/>
          <w:szCs w:val="20"/>
        </w:rPr>
        <w:t>Aufgrund von § 3 LKrO, § 6 Abs. 3 und 2 ÖPNVG und § 8a Abs. 1 PBefG erlässt der Landkreis … folgende allgemeine Vorschrift gemäß Art. 2 lit. i und Art. 3 Abs. 2 VO (EG) Nr. 1370/2007:</w:t>
      </w:r>
    </w:p>
    <w:p w:rsidR="004E5660" w:rsidRPr="004E5660" w:rsidRDefault="004E5660" w:rsidP="004E5660">
      <w:pPr>
        <w:spacing w:line="276" w:lineRule="auto"/>
        <w:jc w:val="both"/>
        <w:rPr>
          <w:sz w:val="20"/>
          <w:szCs w:val="20"/>
        </w:rPr>
      </w:pPr>
    </w:p>
    <w:p w:rsidR="004E5660" w:rsidRDefault="004E5660" w:rsidP="004E5660">
      <w:pPr>
        <w:spacing w:line="276" w:lineRule="auto"/>
        <w:ind w:left="284" w:hanging="284"/>
        <w:jc w:val="both"/>
        <w:rPr>
          <w:sz w:val="20"/>
          <w:szCs w:val="20"/>
        </w:rPr>
      </w:pPr>
      <w:r w:rsidRPr="002B1C2C">
        <w:rPr>
          <w:b/>
          <w:sz w:val="20"/>
          <w:szCs w:val="20"/>
        </w:rPr>
        <w:t>1.</w:t>
      </w:r>
      <w:r w:rsidRPr="002B1C2C">
        <w:rPr>
          <w:b/>
          <w:sz w:val="20"/>
          <w:szCs w:val="20"/>
        </w:rPr>
        <w:tab/>
      </w:r>
      <w:r w:rsidRPr="004E5660">
        <w:rPr>
          <w:sz w:val="20"/>
          <w:szCs w:val="20"/>
        </w:rPr>
        <w:t xml:space="preserve">Der Gemeinschaftstarif für den … wird </w:t>
      </w:r>
      <w:r>
        <w:rPr>
          <w:sz w:val="20"/>
          <w:szCs w:val="20"/>
        </w:rPr>
        <w:t>im Rahmen einer allgemeinen Vor</w:t>
      </w:r>
      <w:r w:rsidRPr="004E5660">
        <w:rPr>
          <w:sz w:val="20"/>
          <w:szCs w:val="20"/>
        </w:rPr>
        <w:t>schrift als Höchsttarif i.S.v. Art. 3 Abs.</w:t>
      </w:r>
      <w:r>
        <w:rPr>
          <w:sz w:val="20"/>
          <w:szCs w:val="20"/>
        </w:rPr>
        <w:t xml:space="preserve"> 2 VO (EG) Nr. 1370/2007 festge</w:t>
      </w:r>
      <w:r w:rsidRPr="004E5660">
        <w:rPr>
          <w:sz w:val="20"/>
          <w:szCs w:val="20"/>
        </w:rPr>
        <w:t>setzt. Die damit verbundene gemeinwirtschaftliche Verpflichtung umfasst</w:t>
      </w:r>
    </w:p>
    <w:p w:rsidR="004E5660" w:rsidRPr="004E5660" w:rsidRDefault="004E5660" w:rsidP="004E5660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4E5660" w:rsidRDefault="004E5660" w:rsidP="004E5660">
      <w:pPr>
        <w:spacing w:line="276" w:lineRule="auto"/>
        <w:ind w:left="568" w:hanging="284"/>
        <w:jc w:val="both"/>
        <w:rPr>
          <w:sz w:val="20"/>
          <w:szCs w:val="20"/>
        </w:rPr>
      </w:pPr>
      <w:r w:rsidRPr="004E5660">
        <w:rPr>
          <w:sz w:val="20"/>
          <w:szCs w:val="20"/>
        </w:rPr>
        <w:t>a)</w:t>
      </w:r>
      <w:r w:rsidRPr="004E5660">
        <w:rPr>
          <w:sz w:val="20"/>
          <w:szCs w:val="20"/>
        </w:rPr>
        <w:tab/>
        <w:t>die Beförderung von Fahrgästen mit Straßenbahnen und Obussen sowie im Linienverkehr mit Kraftfahrzeugen nach §§ 42, 43 PBefG sowie im Schienenpersonennahverkehr gemäß § 2 Abs. 5 AEG im Gebiet des Landkreises … zu den jeweils v</w:t>
      </w:r>
      <w:r>
        <w:rPr>
          <w:sz w:val="20"/>
          <w:szCs w:val="20"/>
        </w:rPr>
        <w:t>on der Genehmigungsbehörde zuge</w:t>
      </w:r>
      <w:r w:rsidRPr="004E5660">
        <w:rPr>
          <w:sz w:val="20"/>
          <w:szCs w:val="20"/>
        </w:rPr>
        <w:t>stimmten Beförderungsentgelten, Tarifbestimmungen und Beförderungsbedingungen des …-Gemeinschafts</w:t>
      </w:r>
      <w:r>
        <w:rPr>
          <w:sz w:val="20"/>
          <w:szCs w:val="20"/>
        </w:rPr>
        <w:t>-</w:t>
      </w:r>
      <w:r w:rsidRPr="004E5660">
        <w:rPr>
          <w:sz w:val="20"/>
          <w:szCs w:val="20"/>
        </w:rPr>
        <w:t>t</w:t>
      </w:r>
      <w:r>
        <w:rPr>
          <w:sz w:val="20"/>
          <w:szCs w:val="20"/>
        </w:rPr>
        <w:t>arifs (betroffene Linien und Li</w:t>
      </w:r>
      <w:r w:rsidRPr="004E5660">
        <w:rPr>
          <w:sz w:val="20"/>
          <w:szCs w:val="20"/>
        </w:rPr>
        <w:t xml:space="preserve">nienabschnitte: </w:t>
      </w:r>
      <w:r w:rsidRPr="004E5660">
        <w:rPr>
          <w:sz w:val="20"/>
          <w:szCs w:val="20"/>
          <w:u w:val="single"/>
        </w:rPr>
        <w:t>Anlage 1</w:t>
      </w:r>
      <w:r w:rsidRPr="004E5660">
        <w:rPr>
          <w:sz w:val="20"/>
          <w:szCs w:val="20"/>
        </w:rPr>
        <w:t>). Das Tarifwerk für den … ist in seiner jeweils aktuellen Fassung im Internet abrufbar (</w:t>
      </w:r>
      <w:hyperlink r:id="rId5" w:history="1">
        <w:r w:rsidRPr="0029599E">
          <w:rPr>
            <w:rStyle w:val="Hyperlink"/>
            <w:sz w:val="20"/>
            <w:szCs w:val="20"/>
          </w:rPr>
          <w:t>www.xyz.de</w:t>
        </w:r>
      </w:hyperlink>
      <w:r w:rsidRPr="004E5660">
        <w:rPr>
          <w:sz w:val="20"/>
          <w:szCs w:val="20"/>
        </w:rPr>
        <w:t>);</w:t>
      </w:r>
    </w:p>
    <w:p w:rsidR="004E5660" w:rsidRPr="004E5660" w:rsidRDefault="004E5660" w:rsidP="004E5660">
      <w:pPr>
        <w:spacing w:line="276" w:lineRule="auto"/>
        <w:ind w:left="568" w:hanging="284"/>
        <w:jc w:val="both"/>
        <w:rPr>
          <w:sz w:val="20"/>
          <w:szCs w:val="20"/>
        </w:rPr>
      </w:pPr>
    </w:p>
    <w:p w:rsidR="004E5660" w:rsidRPr="004E5660" w:rsidRDefault="004E5660" w:rsidP="004E5660">
      <w:pPr>
        <w:spacing w:line="276" w:lineRule="auto"/>
        <w:ind w:left="568" w:hanging="284"/>
        <w:jc w:val="both"/>
        <w:rPr>
          <w:sz w:val="20"/>
          <w:szCs w:val="20"/>
        </w:rPr>
      </w:pPr>
      <w:r w:rsidRPr="004E5660">
        <w:rPr>
          <w:sz w:val="20"/>
          <w:szCs w:val="20"/>
        </w:rPr>
        <w:t>b)</w:t>
      </w:r>
      <w:r w:rsidRPr="004E5660">
        <w:rPr>
          <w:sz w:val="20"/>
          <w:szCs w:val="20"/>
        </w:rPr>
        <w:tab/>
        <w:t xml:space="preserve">den Abschluss eines Kooperationsvertrags mit dem Landkreis … (Mus-ter-Kooperationsvertrag: </w:t>
      </w:r>
      <w:r w:rsidRPr="004E5660">
        <w:rPr>
          <w:sz w:val="20"/>
          <w:szCs w:val="20"/>
          <w:u w:val="single"/>
        </w:rPr>
        <w:t>Anlage 2</w:t>
      </w:r>
      <w:r w:rsidRPr="004E5660">
        <w:rPr>
          <w:sz w:val="20"/>
          <w:szCs w:val="20"/>
        </w:rPr>
        <w:t>);</w:t>
      </w:r>
    </w:p>
    <w:p w:rsidR="004E5660" w:rsidRDefault="004E5660" w:rsidP="004E5660">
      <w:pPr>
        <w:spacing w:line="276" w:lineRule="auto"/>
        <w:ind w:left="568" w:hanging="284"/>
        <w:jc w:val="both"/>
        <w:rPr>
          <w:sz w:val="20"/>
          <w:szCs w:val="20"/>
        </w:rPr>
      </w:pPr>
      <w:r w:rsidRPr="004E5660">
        <w:rPr>
          <w:sz w:val="20"/>
          <w:szCs w:val="20"/>
        </w:rPr>
        <w:tab/>
        <w:t>Alternativ oder ergänzend: den Beitritt als Gesellschafter zur … GmbH (Verbundgesellschaft; Gesellschaftsvertrag: Anlage 3) / den Beitritt als Gesellschafter zur Gesellschaft bürgerlichen Rechts der Kooperations-partner des …, welche Gesellschaf</w:t>
      </w:r>
      <w:r>
        <w:rPr>
          <w:sz w:val="20"/>
          <w:szCs w:val="20"/>
        </w:rPr>
        <w:t>terin der … GmbH (Verbund-gesell</w:t>
      </w:r>
      <w:r w:rsidRPr="004E5660">
        <w:rPr>
          <w:sz w:val="20"/>
          <w:szCs w:val="20"/>
        </w:rPr>
        <w:t>schaft) ist (Unternehmergesellschaft; Gesellschaftsverträge: Anlagen 3 und 4); sowie</w:t>
      </w:r>
    </w:p>
    <w:p w:rsidR="004E5660" w:rsidRPr="004E5660" w:rsidRDefault="004E5660" w:rsidP="004E5660">
      <w:pPr>
        <w:spacing w:line="276" w:lineRule="auto"/>
        <w:ind w:left="568" w:hanging="284"/>
        <w:jc w:val="both"/>
        <w:rPr>
          <w:sz w:val="20"/>
          <w:szCs w:val="20"/>
        </w:rPr>
      </w:pPr>
    </w:p>
    <w:p w:rsidR="004E5660" w:rsidRPr="004E5660" w:rsidRDefault="004E5660" w:rsidP="004E5660">
      <w:pPr>
        <w:spacing w:line="276" w:lineRule="auto"/>
        <w:ind w:left="568" w:hanging="284"/>
        <w:jc w:val="both"/>
        <w:rPr>
          <w:sz w:val="20"/>
          <w:szCs w:val="20"/>
        </w:rPr>
      </w:pPr>
      <w:r w:rsidRPr="004E5660">
        <w:rPr>
          <w:sz w:val="20"/>
          <w:szCs w:val="20"/>
        </w:rPr>
        <w:t>c)</w:t>
      </w:r>
      <w:r w:rsidRPr="004E5660">
        <w:rPr>
          <w:sz w:val="20"/>
          <w:szCs w:val="20"/>
        </w:rPr>
        <w:tab/>
        <w:t xml:space="preserve">den Beitritt zum Einnahmeaufteilungsvertrag zwischen der … GmbH (Verbundgesellschaft) und den Unternehmen, welche unter diese allgemeine Vorschrift fallen (Einnahmeaufteilungsvertrag: </w:t>
      </w:r>
      <w:r w:rsidRPr="004E5660">
        <w:rPr>
          <w:sz w:val="20"/>
          <w:szCs w:val="20"/>
          <w:u w:val="single"/>
        </w:rPr>
        <w:t>Anlage 5</w:t>
      </w:r>
      <w:r w:rsidRPr="004E5660">
        <w:rPr>
          <w:sz w:val="20"/>
          <w:szCs w:val="20"/>
        </w:rPr>
        <w:t>).</w:t>
      </w:r>
    </w:p>
    <w:p w:rsidR="004E5660" w:rsidRPr="004E5660" w:rsidRDefault="004E5660" w:rsidP="004E5660">
      <w:pPr>
        <w:spacing w:line="276" w:lineRule="auto"/>
        <w:ind w:left="568" w:hanging="284"/>
        <w:jc w:val="both"/>
        <w:rPr>
          <w:sz w:val="20"/>
          <w:szCs w:val="20"/>
        </w:rPr>
      </w:pPr>
      <w:r w:rsidRPr="004E5660">
        <w:rPr>
          <w:sz w:val="20"/>
          <w:szCs w:val="20"/>
        </w:rPr>
        <w:tab/>
        <w:t>Die gemeinwirtschaftliche Verpflichtung umfasst auch die Beteiligung am ungedeckten Eigenaufwand der … GmbH / GbR. Die … GmbH erteilt auf schriftliche Anfrage hin Auskunft über dessen Höhe im vorangegangenen Wirtschaftsjahr.</w:t>
      </w:r>
    </w:p>
    <w:p w:rsidR="004E5660" w:rsidRDefault="004E5660" w:rsidP="004E5660">
      <w:pPr>
        <w:spacing w:line="276" w:lineRule="auto"/>
        <w:ind w:left="568" w:hanging="284"/>
        <w:jc w:val="both"/>
        <w:rPr>
          <w:sz w:val="20"/>
          <w:szCs w:val="20"/>
        </w:rPr>
      </w:pPr>
      <w:r w:rsidRPr="004E5660">
        <w:rPr>
          <w:sz w:val="20"/>
          <w:szCs w:val="20"/>
        </w:rPr>
        <w:tab/>
        <w:t>Geografischer Geltungsbereich der gemeinwirtschaftlichen Verpflichtung ist das Verbundgebiet des … gemäß Anlage 1. Soweit mit benachbarten Verkehrs- und Tarifverbünden oder Tarifgemeinschaften tarifliche Regelungen für den grenzüberschreitenden Ve</w:t>
      </w:r>
      <w:r>
        <w:rPr>
          <w:sz w:val="20"/>
          <w:szCs w:val="20"/>
        </w:rPr>
        <w:t>rkehr bestehen, sind diese eben</w:t>
      </w:r>
      <w:r w:rsidRPr="004E5660">
        <w:rPr>
          <w:sz w:val="20"/>
          <w:szCs w:val="20"/>
        </w:rPr>
        <w:t>falls Bestandteil des …-Gemeinschaftstarifs.</w:t>
      </w:r>
    </w:p>
    <w:p w:rsidR="004E5660" w:rsidRPr="004E5660" w:rsidRDefault="004E5660" w:rsidP="004E5660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4E5660" w:rsidRDefault="004E5660" w:rsidP="004E5660">
      <w:pPr>
        <w:spacing w:line="276" w:lineRule="auto"/>
        <w:ind w:left="284" w:hanging="284"/>
        <w:jc w:val="both"/>
        <w:rPr>
          <w:sz w:val="20"/>
          <w:szCs w:val="20"/>
        </w:rPr>
      </w:pPr>
      <w:r w:rsidRPr="002B1C2C">
        <w:rPr>
          <w:b/>
          <w:sz w:val="20"/>
          <w:szCs w:val="20"/>
        </w:rPr>
        <w:t>2.</w:t>
      </w:r>
      <w:r w:rsidRPr="004E5660">
        <w:rPr>
          <w:sz w:val="20"/>
          <w:szCs w:val="20"/>
        </w:rPr>
        <w:tab/>
        <w:t>Unternehmen, welche auf ihren Verkehren gemäß Ziff. 1 Buchst. a) den …-Gemeinschaftstarif anwenden, haben Anspruch auf den Ausgleich des finan-ziellen Nettoeffekts gemäß Ziff. 2 des Anhangs der VO (EG) Nr. 1370/2007. Die Parameter, anhand deren die Ausgleichsleistungen berechnet werden, werden wie folgt aufgestellt:</w:t>
      </w:r>
    </w:p>
    <w:p w:rsidR="002B1C2C" w:rsidRPr="004E5660" w:rsidRDefault="002B1C2C" w:rsidP="002B1C2C">
      <w:pPr>
        <w:spacing w:line="276" w:lineRule="auto"/>
        <w:ind w:left="852" w:hanging="284"/>
        <w:jc w:val="both"/>
        <w:rPr>
          <w:sz w:val="20"/>
          <w:szCs w:val="20"/>
        </w:rPr>
      </w:pPr>
    </w:p>
    <w:p w:rsidR="004E5660" w:rsidRPr="004E5660" w:rsidRDefault="004E5660" w:rsidP="002B1C2C">
      <w:pPr>
        <w:spacing w:line="276" w:lineRule="auto"/>
        <w:ind w:left="852" w:hanging="284"/>
        <w:jc w:val="both"/>
        <w:rPr>
          <w:sz w:val="20"/>
          <w:szCs w:val="20"/>
        </w:rPr>
      </w:pPr>
      <w:r w:rsidRPr="004E5660">
        <w:rPr>
          <w:sz w:val="20"/>
          <w:szCs w:val="20"/>
        </w:rPr>
        <w:t>a)</w:t>
      </w:r>
      <w:r w:rsidRPr="004E5660">
        <w:rPr>
          <w:sz w:val="20"/>
          <w:szCs w:val="20"/>
        </w:rPr>
        <w:tab/>
        <w:t>Durchtarifierungs- und Harmonisierungsverluste:</w:t>
      </w:r>
    </w:p>
    <w:p w:rsidR="004E5660" w:rsidRDefault="004E5660" w:rsidP="002B1C2C">
      <w:pPr>
        <w:spacing w:line="276" w:lineRule="auto"/>
        <w:ind w:left="852" w:hanging="284"/>
        <w:jc w:val="both"/>
        <w:rPr>
          <w:sz w:val="20"/>
          <w:szCs w:val="20"/>
        </w:rPr>
      </w:pPr>
      <w:r w:rsidRPr="004E5660">
        <w:rPr>
          <w:sz w:val="20"/>
          <w:szCs w:val="20"/>
        </w:rPr>
        <w:t>… % der zugewiesenen Fahrgeldeinnahmen;</w:t>
      </w:r>
    </w:p>
    <w:p w:rsidR="002B1C2C" w:rsidRPr="004E5660" w:rsidRDefault="002B1C2C" w:rsidP="002B1C2C">
      <w:pPr>
        <w:spacing w:line="276" w:lineRule="auto"/>
        <w:ind w:left="852" w:hanging="284"/>
        <w:jc w:val="both"/>
        <w:rPr>
          <w:sz w:val="20"/>
          <w:szCs w:val="20"/>
        </w:rPr>
      </w:pPr>
    </w:p>
    <w:p w:rsidR="004E5660" w:rsidRPr="004E5660" w:rsidRDefault="004E5660" w:rsidP="002B1C2C">
      <w:pPr>
        <w:spacing w:line="276" w:lineRule="auto"/>
        <w:ind w:left="852" w:hanging="284"/>
        <w:jc w:val="both"/>
        <w:rPr>
          <w:sz w:val="20"/>
          <w:szCs w:val="20"/>
        </w:rPr>
      </w:pPr>
      <w:r w:rsidRPr="004E5660">
        <w:rPr>
          <w:sz w:val="20"/>
          <w:szCs w:val="20"/>
        </w:rPr>
        <w:t>b)</w:t>
      </w:r>
      <w:r w:rsidRPr="004E5660">
        <w:rPr>
          <w:sz w:val="20"/>
          <w:szCs w:val="20"/>
        </w:rPr>
        <w:tab/>
        <w:t>Verbundbedingte Vertriebs- und Regiekosten:</w:t>
      </w:r>
      <w:r w:rsidR="002B1C2C">
        <w:rPr>
          <w:sz w:val="20"/>
          <w:szCs w:val="20"/>
        </w:rPr>
        <w:t xml:space="preserve"> </w:t>
      </w:r>
    </w:p>
    <w:p w:rsidR="004E5660" w:rsidRPr="004E5660" w:rsidRDefault="004E5660" w:rsidP="002B1C2C">
      <w:pPr>
        <w:spacing w:line="276" w:lineRule="auto"/>
        <w:ind w:left="284"/>
        <w:jc w:val="both"/>
        <w:rPr>
          <w:sz w:val="20"/>
          <w:szCs w:val="20"/>
        </w:rPr>
      </w:pPr>
      <w:r w:rsidRPr="004E5660">
        <w:rPr>
          <w:sz w:val="20"/>
          <w:szCs w:val="20"/>
        </w:rPr>
        <w:t>…</w:t>
      </w:r>
    </w:p>
    <w:p w:rsidR="004E5660" w:rsidRDefault="004E5660" w:rsidP="004E5660">
      <w:pPr>
        <w:spacing w:line="276" w:lineRule="auto"/>
        <w:ind w:left="284" w:hanging="284"/>
        <w:jc w:val="both"/>
        <w:rPr>
          <w:sz w:val="20"/>
          <w:szCs w:val="20"/>
        </w:rPr>
      </w:pPr>
      <w:r w:rsidRPr="004E5660">
        <w:rPr>
          <w:sz w:val="20"/>
          <w:szCs w:val="20"/>
        </w:rPr>
        <w:t>c)</w:t>
      </w:r>
      <w:r w:rsidRPr="004E5660">
        <w:rPr>
          <w:sz w:val="20"/>
          <w:szCs w:val="20"/>
        </w:rPr>
        <w:tab/>
        <w:t>…</w:t>
      </w:r>
    </w:p>
    <w:p w:rsidR="002B1C2C" w:rsidRPr="004E5660" w:rsidRDefault="002B1C2C" w:rsidP="004E5660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4E5660" w:rsidRDefault="004E5660" w:rsidP="004E5660">
      <w:pPr>
        <w:spacing w:line="276" w:lineRule="auto"/>
        <w:ind w:left="284" w:hanging="284"/>
        <w:jc w:val="both"/>
        <w:rPr>
          <w:sz w:val="20"/>
          <w:szCs w:val="20"/>
        </w:rPr>
      </w:pPr>
      <w:r w:rsidRPr="002B1C2C">
        <w:rPr>
          <w:b/>
          <w:sz w:val="20"/>
          <w:szCs w:val="20"/>
        </w:rPr>
        <w:t>3.</w:t>
      </w:r>
      <w:r w:rsidRPr="004E5660">
        <w:rPr>
          <w:sz w:val="20"/>
          <w:szCs w:val="20"/>
        </w:rPr>
        <w:tab/>
        <w:t>Die Durchführungsvorschriften im Einnahmeaufteilungsvertrag gemäß Ziff. 1. c) können ohne die Zustimmung des Landkreises … nicht geändert werden.</w:t>
      </w:r>
    </w:p>
    <w:p w:rsidR="002B1C2C" w:rsidRPr="004E5660" w:rsidRDefault="002B1C2C" w:rsidP="004E5660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4E5660" w:rsidRDefault="004E5660" w:rsidP="004E5660">
      <w:pPr>
        <w:spacing w:line="276" w:lineRule="auto"/>
        <w:ind w:left="284" w:hanging="284"/>
        <w:jc w:val="both"/>
        <w:rPr>
          <w:sz w:val="20"/>
          <w:szCs w:val="20"/>
        </w:rPr>
      </w:pPr>
      <w:r w:rsidRPr="002B1C2C">
        <w:rPr>
          <w:b/>
          <w:sz w:val="20"/>
          <w:szCs w:val="20"/>
        </w:rPr>
        <w:t>4.</w:t>
      </w:r>
      <w:r w:rsidRPr="004E5660">
        <w:rPr>
          <w:sz w:val="20"/>
          <w:szCs w:val="20"/>
        </w:rPr>
        <w:tab/>
        <w:t>Unternehmen, welche Ausgleichsleistungen nach Ziff. 2 erhalten, und auch anderen betrieblichen Tätigkeiten als der Beförderung von Fahrgästen mit Fahrausweisen des …-Gemeinschaftsta</w:t>
      </w:r>
      <w:r w:rsidR="002B1C2C">
        <w:rPr>
          <w:sz w:val="20"/>
          <w:szCs w:val="20"/>
        </w:rPr>
        <w:t>rifs nachgehen, haben eine Tren</w:t>
      </w:r>
      <w:r w:rsidRPr="004E5660">
        <w:rPr>
          <w:sz w:val="20"/>
          <w:szCs w:val="20"/>
        </w:rPr>
        <w:t>nungsrechnung einzurichten. Die Durchfü</w:t>
      </w:r>
      <w:r w:rsidR="002B1C2C">
        <w:rPr>
          <w:sz w:val="20"/>
          <w:szCs w:val="20"/>
        </w:rPr>
        <w:t>hrungsvorschriften für die Tren</w:t>
      </w:r>
      <w:r w:rsidRPr="004E5660">
        <w:rPr>
          <w:sz w:val="20"/>
          <w:szCs w:val="20"/>
        </w:rPr>
        <w:t>nungsrechnung ergeben sich aus Ziff. 5 des Anhangs zur VO (EG) Nr. 1370/2007. Die Schlüsselung von Querschnittsfunktionen hat nach den Grundsätzen der Sachgerechtigkeit und S</w:t>
      </w:r>
      <w:r w:rsidR="002B1C2C">
        <w:rPr>
          <w:sz w:val="20"/>
          <w:szCs w:val="20"/>
        </w:rPr>
        <w:t>tetigkeit zu erfolgen. Die Tren</w:t>
      </w:r>
      <w:r w:rsidRPr="004E5660">
        <w:rPr>
          <w:sz w:val="20"/>
          <w:szCs w:val="20"/>
        </w:rPr>
        <w:t>nungsrechnung muss den gleichen Zeitr</w:t>
      </w:r>
      <w:r w:rsidR="002B1C2C">
        <w:rPr>
          <w:sz w:val="20"/>
          <w:szCs w:val="20"/>
        </w:rPr>
        <w:t>aum wie die Jahresabschlüsse um</w:t>
      </w:r>
      <w:r w:rsidRPr="004E5660">
        <w:rPr>
          <w:sz w:val="20"/>
          <w:szCs w:val="20"/>
        </w:rPr>
        <w:t>fassen.</w:t>
      </w:r>
    </w:p>
    <w:p w:rsidR="002B1C2C" w:rsidRPr="004E5660" w:rsidRDefault="002B1C2C" w:rsidP="004E5660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4E5660" w:rsidRDefault="004E5660" w:rsidP="004E5660">
      <w:pPr>
        <w:spacing w:line="276" w:lineRule="auto"/>
        <w:ind w:left="284" w:hanging="284"/>
        <w:jc w:val="both"/>
        <w:rPr>
          <w:sz w:val="20"/>
          <w:szCs w:val="20"/>
        </w:rPr>
      </w:pPr>
      <w:r w:rsidRPr="002B1C2C">
        <w:rPr>
          <w:b/>
          <w:sz w:val="20"/>
          <w:szCs w:val="20"/>
        </w:rPr>
        <w:t>5.</w:t>
      </w:r>
      <w:r w:rsidRPr="004E5660">
        <w:rPr>
          <w:sz w:val="20"/>
          <w:szCs w:val="20"/>
        </w:rPr>
        <w:tab/>
        <w:t xml:space="preserve">Unternehmen, welche einen Ausgleich nach Ziff. 2 erhalten, verpflichten sich, die Regeln der Nrn. 1 bis 6 des Anhangs zur VO (EG) Nr. 1370/2007 einzuhalten. Hierzu legen sie der … GmbH </w:t>
      </w:r>
      <w:r w:rsidR="002B1C2C">
        <w:rPr>
          <w:sz w:val="20"/>
          <w:szCs w:val="20"/>
        </w:rPr>
        <w:t>(Alternativ: der zuständigen Be</w:t>
      </w:r>
      <w:r w:rsidRPr="004E5660">
        <w:rPr>
          <w:sz w:val="20"/>
          <w:szCs w:val="20"/>
        </w:rPr>
        <w:t>hörde) alle zwei Jahre eine Bestätigung eines Steuerberaters oder Wirt</w:t>
      </w:r>
      <w:r w:rsidR="002B1C2C">
        <w:rPr>
          <w:sz w:val="20"/>
          <w:szCs w:val="20"/>
        </w:rPr>
        <w:t>-</w:t>
      </w:r>
      <w:r w:rsidRPr="004E5660">
        <w:rPr>
          <w:sz w:val="20"/>
          <w:szCs w:val="20"/>
        </w:rPr>
        <w:t xml:space="preserve">schaftsprüfers vor, der zufolge sämtliche Regeln des Anhangs eingehalten werden. Die Angemessenheit des Gewinns </w:t>
      </w:r>
      <w:r w:rsidR="002B1C2C">
        <w:rPr>
          <w:sz w:val="20"/>
          <w:szCs w:val="20"/>
        </w:rPr>
        <w:t>ist zu begründen, wenn die Kapi</w:t>
      </w:r>
      <w:r w:rsidRPr="004E5660">
        <w:rPr>
          <w:sz w:val="20"/>
          <w:szCs w:val="20"/>
        </w:rPr>
        <w:t>talrendite den relevanten Swap-Satz zuzüglich eines Aufschlags von 100 Basispunkten übersteigt. Hierzu kann auf ein Gutachten eines geeigneten Sachverständigen zu den im ÖPNV in … unter vergleichbaren Bedingungen erzielten üblichen und angemessenen Gewinnen Bezug genommen werden. Die Datenbasis eines solchen Gutachtens darf zum Zeitpunkt der Erstellung des Gutachtens nicht älter als vier Jahre alt sein.</w:t>
      </w:r>
    </w:p>
    <w:p w:rsidR="002B1C2C" w:rsidRPr="004E5660" w:rsidRDefault="002B1C2C" w:rsidP="004E5660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4E5660" w:rsidRDefault="004E5660" w:rsidP="004E5660">
      <w:pPr>
        <w:spacing w:line="276" w:lineRule="auto"/>
        <w:ind w:left="284" w:hanging="284"/>
        <w:jc w:val="both"/>
        <w:rPr>
          <w:sz w:val="20"/>
          <w:szCs w:val="20"/>
        </w:rPr>
      </w:pPr>
      <w:r w:rsidRPr="002B1C2C">
        <w:rPr>
          <w:b/>
          <w:sz w:val="20"/>
          <w:szCs w:val="20"/>
        </w:rPr>
        <w:t>6.</w:t>
      </w:r>
      <w:r w:rsidRPr="002B1C2C">
        <w:rPr>
          <w:b/>
          <w:sz w:val="20"/>
          <w:szCs w:val="20"/>
        </w:rPr>
        <w:tab/>
      </w:r>
      <w:r w:rsidRPr="004E5660">
        <w:rPr>
          <w:sz w:val="20"/>
          <w:szCs w:val="20"/>
        </w:rPr>
        <w:t>Der Anreiz zur Aufrechterhaltung oder Entwicklung einer wirtschaftlichen Geschäftsführung gemäß Nr. 7 Anstr. 1 des Anhangs zur VO (EG) Nr. 1370/2007 ergibt sich daraus, dass die Unternehmen nach Maßgabe des Kooperationsvertrags das überwiegende M</w:t>
      </w:r>
      <w:r w:rsidR="002B1C2C">
        <w:rPr>
          <w:sz w:val="20"/>
          <w:szCs w:val="20"/>
        </w:rPr>
        <w:t>arktrisiko tragen, und keine An</w:t>
      </w:r>
      <w:r w:rsidRPr="004E5660">
        <w:rPr>
          <w:sz w:val="20"/>
          <w:szCs w:val="20"/>
        </w:rPr>
        <w:t>sprüche auf einen Verlustausgleich im Nachhinein haben.</w:t>
      </w:r>
    </w:p>
    <w:p w:rsidR="002B1C2C" w:rsidRPr="004E5660" w:rsidRDefault="002B1C2C" w:rsidP="004E5660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4E5660" w:rsidRDefault="004E5660" w:rsidP="004E5660">
      <w:pPr>
        <w:spacing w:line="276" w:lineRule="auto"/>
        <w:ind w:left="284" w:hanging="284"/>
        <w:jc w:val="both"/>
        <w:rPr>
          <w:sz w:val="20"/>
          <w:szCs w:val="20"/>
        </w:rPr>
      </w:pPr>
      <w:r w:rsidRPr="002B1C2C">
        <w:rPr>
          <w:b/>
          <w:sz w:val="20"/>
          <w:szCs w:val="20"/>
        </w:rPr>
        <w:t>7.</w:t>
      </w:r>
      <w:r w:rsidRPr="004E5660">
        <w:rPr>
          <w:sz w:val="20"/>
          <w:szCs w:val="20"/>
        </w:rPr>
        <w:tab/>
        <w:t>Der Anreiz zur Aufrechterhaltung oder Ent</w:t>
      </w:r>
      <w:r w:rsidR="002B1C2C">
        <w:rPr>
          <w:sz w:val="20"/>
          <w:szCs w:val="20"/>
        </w:rPr>
        <w:t>wicklung der Erbringung von Per</w:t>
      </w:r>
      <w:r w:rsidRPr="004E5660">
        <w:rPr>
          <w:sz w:val="20"/>
          <w:szCs w:val="20"/>
        </w:rPr>
        <w:t>sonenverkehrsdiensten ausreichend hoher Qualität gemäß Nr. 7 Anstr. 2 des Anhangs zur VO (EG) Nr. 1370/2007 ergi</w:t>
      </w:r>
      <w:r w:rsidR="002B1C2C">
        <w:rPr>
          <w:sz w:val="20"/>
          <w:szCs w:val="20"/>
        </w:rPr>
        <w:t>bt sich aus dem Kooperationsver</w:t>
      </w:r>
      <w:r w:rsidRPr="004E5660">
        <w:rPr>
          <w:sz w:val="20"/>
          <w:szCs w:val="20"/>
        </w:rPr>
        <w:t>trag (der Anlage 6 zu dieser allgemeinen Vorschrift).</w:t>
      </w:r>
    </w:p>
    <w:p w:rsidR="002B1C2C" w:rsidRPr="004E5660" w:rsidRDefault="002B1C2C" w:rsidP="004E5660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4E5660" w:rsidRDefault="004E5660" w:rsidP="004E5660">
      <w:pPr>
        <w:spacing w:line="276" w:lineRule="auto"/>
        <w:ind w:left="284" w:hanging="284"/>
        <w:jc w:val="both"/>
        <w:rPr>
          <w:sz w:val="20"/>
          <w:szCs w:val="20"/>
        </w:rPr>
      </w:pPr>
      <w:r w:rsidRPr="002B1C2C">
        <w:rPr>
          <w:b/>
          <w:sz w:val="20"/>
          <w:szCs w:val="20"/>
        </w:rPr>
        <w:t>8.</w:t>
      </w:r>
      <w:r w:rsidRPr="004E5660">
        <w:rPr>
          <w:sz w:val="20"/>
          <w:szCs w:val="20"/>
        </w:rPr>
        <w:tab/>
        <w:t>Die Erstattung einer festgestellten Überkompensation und deren Verzinsung richtet sich nach der Bekanntmachung der Europäischen Kommission vom 15.11.2007 (ABlEU Nr. C 272/4).</w:t>
      </w:r>
    </w:p>
    <w:p w:rsidR="002B1C2C" w:rsidRPr="004E5660" w:rsidRDefault="002B1C2C" w:rsidP="004E5660">
      <w:pPr>
        <w:spacing w:line="276" w:lineRule="auto"/>
        <w:ind w:left="284" w:hanging="284"/>
        <w:jc w:val="both"/>
        <w:rPr>
          <w:sz w:val="20"/>
          <w:szCs w:val="20"/>
        </w:rPr>
      </w:pPr>
    </w:p>
    <w:p w:rsidR="002B1C2C" w:rsidRDefault="004E5660" w:rsidP="004E5660">
      <w:pPr>
        <w:spacing w:line="276" w:lineRule="auto"/>
        <w:ind w:left="284" w:hanging="284"/>
        <w:jc w:val="both"/>
        <w:rPr>
          <w:sz w:val="20"/>
          <w:szCs w:val="20"/>
        </w:rPr>
      </w:pPr>
      <w:r w:rsidRPr="002B1C2C">
        <w:rPr>
          <w:b/>
          <w:sz w:val="20"/>
          <w:szCs w:val="20"/>
        </w:rPr>
        <w:t>9.</w:t>
      </w:r>
      <w:r w:rsidRPr="004E5660">
        <w:rPr>
          <w:sz w:val="20"/>
          <w:szCs w:val="20"/>
        </w:rPr>
        <w:tab/>
        <w:t xml:space="preserve">Die Veröffentlichung des Gesamtberichts gemäß Art. 7 Abs. 1 VO (EG) Nr. 1370/2007 erfolgt </w:t>
      </w:r>
    </w:p>
    <w:p w:rsidR="0049173B" w:rsidRPr="00891C5F" w:rsidRDefault="004E5660" w:rsidP="002B1C2C">
      <w:pPr>
        <w:spacing w:line="276" w:lineRule="auto"/>
        <w:ind w:left="284"/>
        <w:jc w:val="both"/>
        <w:rPr>
          <w:sz w:val="20"/>
          <w:szCs w:val="20"/>
        </w:rPr>
      </w:pPr>
      <w:r w:rsidRPr="004E5660">
        <w:rPr>
          <w:sz w:val="20"/>
          <w:szCs w:val="20"/>
        </w:rPr>
        <w:t>durch … .</w:t>
      </w:r>
    </w:p>
    <w:sectPr w:rsidR="0049173B" w:rsidRPr="00891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184"/>
    <w:multiLevelType w:val="hybridMultilevel"/>
    <w:tmpl w:val="89061DC4"/>
    <w:lvl w:ilvl="0" w:tplc="6746890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017"/>
    <w:multiLevelType w:val="hybridMultilevel"/>
    <w:tmpl w:val="B70240D4"/>
    <w:lvl w:ilvl="0" w:tplc="75D03B6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10E5"/>
    <w:multiLevelType w:val="hybridMultilevel"/>
    <w:tmpl w:val="87BE0334"/>
    <w:lvl w:ilvl="0" w:tplc="1FAA47A2">
      <w:start w:val="1"/>
      <w:numFmt w:val="decimal"/>
      <w:lvlText w:val="%1."/>
      <w:lvlJc w:val="left"/>
      <w:pPr>
        <w:ind w:left="944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6"/>
        <w:szCs w:val="26"/>
        <w:lang w:val="de-DE" w:eastAsia="en-US" w:bidi="ar-SA"/>
      </w:rPr>
    </w:lvl>
    <w:lvl w:ilvl="1" w:tplc="707CE262">
      <w:numFmt w:val="bullet"/>
      <w:lvlText w:val="•"/>
      <w:lvlJc w:val="left"/>
      <w:pPr>
        <w:ind w:left="1798" w:hanging="708"/>
      </w:pPr>
      <w:rPr>
        <w:rFonts w:hint="default"/>
        <w:lang w:val="de-DE" w:eastAsia="en-US" w:bidi="ar-SA"/>
      </w:rPr>
    </w:lvl>
    <w:lvl w:ilvl="2" w:tplc="7D76814C">
      <w:numFmt w:val="bullet"/>
      <w:lvlText w:val="•"/>
      <w:lvlJc w:val="left"/>
      <w:pPr>
        <w:ind w:left="2657" w:hanging="708"/>
      </w:pPr>
      <w:rPr>
        <w:rFonts w:hint="default"/>
        <w:lang w:val="de-DE" w:eastAsia="en-US" w:bidi="ar-SA"/>
      </w:rPr>
    </w:lvl>
    <w:lvl w:ilvl="3" w:tplc="AF42FDBE">
      <w:numFmt w:val="bullet"/>
      <w:lvlText w:val="•"/>
      <w:lvlJc w:val="left"/>
      <w:pPr>
        <w:ind w:left="3515" w:hanging="708"/>
      </w:pPr>
      <w:rPr>
        <w:rFonts w:hint="default"/>
        <w:lang w:val="de-DE" w:eastAsia="en-US" w:bidi="ar-SA"/>
      </w:rPr>
    </w:lvl>
    <w:lvl w:ilvl="4" w:tplc="F1CE370E">
      <w:numFmt w:val="bullet"/>
      <w:lvlText w:val="•"/>
      <w:lvlJc w:val="left"/>
      <w:pPr>
        <w:ind w:left="4374" w:hanging="708"/>
      </w:pPr>
      <w:rPr>
        <w:rFonts w:hint="default"/>
        <w:lang w:val="de-DE" w:eastAsia="en-US" w:bidi="ar-SA"/>
      </w:rPr>
    </w:lvl>
    <w:lvl w:ilvl="5" w:tplc="6B6A3472">
      <w:numFmt w:val="bullet"/>
      <w:lvlText w:val="•"/>
      <w:lvlJc w:val="left"/>
      <w:pPr>
        <w:ind w:left="5233" w:hanging="708"/>
      </w:pPr>
      <w:rPr>
        <w:rFonts w:hint="default"/>
        <w:lang w:val="de-DE" w:eastAsia="en-US" w:bidi="ar-SA"/>
      </w:rPr>
    </w:lvl>
    <w:lvl w:ilvl="6" w:tplc="82D8F7D2">
      <w:numFmt w:val="bullet"/>
      <w:lvlText w:val="•"/>
      <w:lvlJc w:val="left"/>
      <w:pPr>
        <w:ind w:left="6091" w:hanging="708"/>
      </w:pPr>
      <w:rPr>
        <w:rFonts w:hint="default"/>
        <w:lang w:val="de-DE" w:eastAsia="en-US" w:bidi="ar-SA"/>
      </w:rPr>
    </w:lvl>
    <w:lvl w:ilvl="7" w:tplc="DA10502C">
      <w:numFmt w:val="bullet"/>
      <w:lvlText w:val="•"/>
      <w:lvlJc w:val="left"/>
      <w:pPr>
        <w:ind w:left="6950" w:hanging="708"/>
      </w:pPr>
      <w:rPr>
        <w:rFonts w:hint="default"/>
        <w:lang w:val="de-DE" w:eastAsia="en-US" w:bidi="ar-SA"/>
      </w:rPr>
    </w:lvl>
    <w:lvl w:ilvl="8" w:tplc="FB1C2C20">
      <w:numFmt w:val="bullet"/>
      <w:lvlText w:val="•"/>
      <w:lvlJc w:val="left"/>
      <w:pPr>
        <w:ind w:left="7809" w:hanging="708"/>
      </w:pPr>
      <w:rPr>
        <w:rFonts w:hint="default"/>
        <w:lang w:val="de-DE" w:eastAsia="en-US" w:bidi="ar-SA"/>
      </w:rPr>
    </w:lvl>
  </w:abstractNum>
  <w:abstractNum w:abstractNumId="3" w15:restartNumberingAfterBreak="0">
    <w:nsid w:val="5E2735D6"/>
    <w:multiLevelType w:val="hybridMultilevel"/>
    <w:tmpl w:val="1A7C535E"/>
    <w:lvl w:ilvl="0" w:tplc="9618BCC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B4E5E"/>
    <w:multiLevelType w:val="hybridMultilevel"/>
    <w:tmpl w:val="76841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5F"/>
    <w:rsid w:val="000152B9"/>
    <w:rsid w:val="000A3C95"/>
    <w:rsid w:val="002B1C2C"/>
    <w:rsid w:val="0049173B"/>
    <w:rsid w:val="004B0E03"/>
    <w:rsid w:val="004E5660"/>
    <w:rsid w:val="005D50EB"/>
    <w:rsid w:val="006D012F"/>
    <w:rsid w:val="006E0163"/>
    <w:rsid w:val="00791508"/>
    <w:rsid w:val="00847CD9"/>
    <w:rsid w:val="00891C5F"/>
    <w:rsid w:val="009D33C5"/>
    <w:rsid w:val="00A367D1"/>
    <w:rsid w:val="00A67ABC"/>
    <w:rsid w:val="00AB3A6E"/>
    <w:rsid w:val="00B453FF"/>
    <w:rsid w:val="00E85481"/>
    <w:rsid w:val="00F30093"/>
    <w:rsid w:val="00F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4659"/>
  <w15:chartTrackingRefBased/>
  <w15:docId w15:val="{2B6C295E-1EDC-42A4-9025-9C99C27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91C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891C5F"/>
    <w:rPr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uiPriority w:val="1"/>
    <w:rsid w:val="00891C5F"/>
    <w:rPr>
      <w:rFonts w:ascii="Arial" w:eastAsia="Arial" w:hAnsi="Arial" w:cs="Arial"/>
      <w:sz w:val="26"/>
      <w:szCs w:val="26"/>
    </w:rPr>
  </w:style>
  <w:style w:type="paragraph" w:styleId="Listenabsatz">
    <w:name w:val="List Paragraph"/>
    <w:basedOn w:val="Standard"/>
    <w:uiPriority w:val="1"/>
    <w:qFormat/>
    <w:rsid w:val="00891C5F"/>
    <w:pPr>
      <w:ind w:left="524" w:hanging="289"/>
      <w:jc w:val="both"/>
    </w:pPr>
  </w:style>
  <w:style w:type="character" w:styleId="Hyperlink">
    <w:name w:val="Hyperlink"/>
    <w:basedOn w:val="Absatz-Standardschriftart"/>
    <w:uiPriority w:val="99"/>
    <w:unhideWhenUsed/>
    <w:rsid w:val="0079150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17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4917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7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73B"/>
    <w:rPr>
      <w:rFonts w:ascii="Segoe UI" w:eastAsia="Arial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9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y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Schulze-Pilz Nora</dc:creator>
  <cp:keywords/>
  <dc:description/>
  <cp:lastModifiedBy>Schulze-Pilz Nora</cp:lastModifiedBy>
  <cp:revision>2</cp:revision>
  <dcterms:created xsi:type="dcterms:W3CDTF">2022-05-11T10:57:00Z</dcterms:created>
  <dcterms:modified xsi:type="dcterms:W3CDTF">2022-05-11T10:57:00Z</dcterms:modified>
</cp:coreProperties>
</file>