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891C5F">
      <w:pPr>
        <w:rPr>
          <w:b/>
          <w:color w:val="767171" w:themeColor="background2" w:themeShade="80"/>
        </w:rPr>
      </w:pPr>
      <w:r w:rsidRPr="005D50EB">
        <w:rPr>
          <w:b/>
          <w:color w:val="767171" w:themeColor="background2" w:themeShade="80"/>
        </w:rPr>
        <w:t xml:space="preserve">Modul 3 / </w:t>
      </w:r>
      <w:r w:rsidR="00891C5F" w:rsidRPr="005D50EB">
        <w:rPr>
          <w:b/>
          <w:color w:val="767171" w:themeColor="background2" w:themeShade="80"/>
        </w:rPr>
        <w:t>Anhang</w:t>
      </w:r>
      <w:r w:rsidR="006E0163">
        <w:rPr>
          <w:b/>
          <w:color w:val="767171" w:themeColor="background2" w:themeShade="80"/>
        </w:rPr>
        <w:t xml:space="preserve"> </w:t>
      </w:r>
      <w:r w:rsidR="00E85481">
        <w:rPr>
          <w:b/>
          <w:color w:val="767171" w:themeColor="background2" w:themeShade="80"/>
        </w:rPr>
        <w:t>2</w:t>
      </w:r>
    </w:p>
    <w:p w:rsidR="00891C5F" w:rsidRDefault="00891C5F" w:rsidP="00891C5F"/>
    <w:p w:rsidR="00891C5F" w:rsidRPr="00891C5F" w:rsidRDefault="00E85481" w:rsidP="00891C5F">
      <w:pPr>
        <w:rPr>
          <w:b/>
        </w:rPr>
      </w:pPr>
      <w:r>
        <w:rPr>
          <w:b/>
        </w:rPr>
        <w:t>2</w:t>
      </w:r>
      <w:r w:rsidR="00891C5F" w:rsidRPr="00891C5F">
        <w:rPr>
          <w:b/>
        </w:rPr>
        <w:t xml:space="preserve">. Muster </w:t>
      </w:r>
      <w:r w:rsidRPr="00E85481">
        <w:rPr>
          <w:b/>
        </w:rPr>
        <w:t>Vorabbekanntmachung</w:t>
      </w:r>
    </w:p>
    <w:p w:rsidR="00891C5F" w:rsidRPr="00891C5F" w:rsidRDefault="00891C5F" w:rsidP="00891C5F">
      <w:pPr>
        <w:jc w:val="center"/>
        <w:rPr>
          <w:b/>
          <w:sz w:val="24"/>
          <w:szCs w:val="24"/>
        </w:rPr>
      </w:pPr>
    </w:p>
    <w:p w:rsidR="00891C5F" w:rsidRDefault="00791508" w:rsidP="00791508">
      <w:pPr>
        <w:jc w:val="center"/>
        <w:rPr>
          <w:b/>
          <w:sz w:val="24"/>
          <w:szCs w:val="24"/>
        </w:rPr>
      </w:pPr>
      <w:r>
        <w:rPr>
          <w:b/>
          <w:sz w:val="24"/>
          <w:szCs w:val="24"/>
        </w:rPr>
        <w:t>Vorinformation für öffentliche</w:t>
      </w:r>
      <w:r>
        <w:rPr>
          <w:b/>
          <w:sz w:val="24"/>
          <w:szCs w:val="24"/>
        </w:rPr>
        <w:br/>
      </w:r>
      <w:r w:rsidRPr="00791508">
        <w:rPr>
          <w:b/>
          <w:sz w:val="24"/>
          <w:szCs w:val="24"/>
        </w:rPr>
        <w:t>Dienstleistungsaufträge</w:t>
      </w:r>
    </w:p>
    <w:p w:rsidR="00791508" w:rsidRPr="00891C5F" w:rsidRDefault="00791508" w:rsidP="00891C5F">
      <w:pPr>
        <w:rPr>
          <w:sz w:val="20"/>
          <w:szCs w:val="20"/>
        </w:rPr>
      </w:pPr>
    </w:p>
    <w:p w:rsidR="00791508" w:rsidRPr="00791508" w:rsidRDefault="00791508" w:rsidP="00791508">
      <w:pPr>
        <w:rPr>
          <w:sz w:val="20"/>
          <w:szCs w:val="20"/>
        </w:rPr>
      </w:pPr>
      <w:r w:rsidRPr="00791508">
        <w:rPr>
          <w:sz w:val="20"/>
          <w:szCs w:val="20"/>
        </w:rPr>
        <w:t>Standardformular für Bekanntmachungen gemäß Artikel 7.2 der Verordnung 1370/2007, die innerhalb eines Jahres vor dem Beginn des Ausschreibungsverfahrens oder der direkten Auftragsvergabe im Supplement zum Amtsblatt der Europäischen Union veröffentlicht werden müssen.</w:t>
      </w:r>
    </w:p>
    <w:p w:rsidR="00847CD9" w:rsidRDefault="00791508" w:rsidP="00791508">
      <w:pPr>
        <w:rPr>
          <w:sz w:val="20"/>
          <w:szCs w:val="20"/>
        </w:rPr>
      </w:pPr>
      <w:r w:rsidRPr="00791508">
        <w:rPr>
          <w:sz w:val="20"/>
          <w:szCs w:val="20"/>
        </w:rPr>
        <w:t>Die zuständigen Behörden können beschließen, diese Informationen nicht zu veröffentlichen, wenn der öffentliche Dienstleistungsauftrag eine jährliche öffentliche Personenverkehrsleistung von weniger als 50000 km aufweist.</w:t>
      </w:r>
    </w:p>
    <w:p w:rsidR="00791508" w:rsidRDefault="00791508" w:rsidP="00791508">
      <w:pPr>
        <w:rPr>
          <w:sz w:val="20"/>
          <w:szCs w:val="20"/>
        </w:rPr>
      </w:pPr>
    </w:p>
    <w:p w:rsidR="00791508" w:rsidRPr="00791508" w:rsidRDefault="00791508" w:rsidP="00791508">
      <w:pPr>
        <w:rPr>
          <w:b/>
          <w:sz w:val="20"/>
          <w:szCs w:val="20"/>
          <w:u w:val="single"/>
        </w:rPr>
      </w:pPr>
      <w:r w:rsidRPr="00791508">
        <w:rPr>
          <w:b/>
          <w:sz w:val="20"/>
          <w:szCs w:val="20"/>
          <w:u w:val="single"/>
        </w:rPr>
        <w:t>Abschnitt I: Zuständige Behörde</w:t>
      </w:r>
    </w:p>
    <w:p w:rsidR="00791508" w:rsidRPr="00791508" w:rsidRDefault="00791508" w:rsidP="00AB3A6E">
      <w:pPr>
        <w:ind w:left="709" w:hanging="709"/>
        <w:rPr>
          <w:sz w:val="20"/>
          <w:szCs w:val="20"/>
        </w:rPr>
      </w:pPr>
      <w:r w:rsidRPr="00791508">
        <w:rPr>
          <w:sz w:val="20"/>
          <w:szCs w:val="20"/>
        </w:rPr>
        <w:t>I.1)</w:t>
      </w:r>
      <w:r w:rsidRPr="00791508">
        <w:rPr>
          <w:sz w:val="20"/>
          <w:szCs w:val="20"/>
        </w:rPr>
        <w:tab/>
      </w:r>
      <w:r w:rsidRPr="00791508">
        <w:rPr>
          <w:b/>
          <w:sz w:val="20"/>
          <w:szCs w:val="20"/>
        </w:rPr>
        <w:t>Name und Adressen</w:t>
      </w:r>
      <w:r w:rsidRPr="00791508">
        <w:rPr>
          <w:sz w:val="20"/>
          <w:szCs w:val="20"/>
        </w:rPr>
        <w:t xml:space="preserve"> </w:t>
      </w:r>
      <w:r>
        <w:rPr>
          <w:sz w:val="20"/>
          <w:szCs w:val="20"/>
        </w:rPr>
        <w:br/>
      </w:r>
      <w:r w:rsidRPr="00791508">
        <w:rPr>
          <w:sz w:val="20"/>
          <w:szCs w:val="20"/>
        </w:rPr>
        <w:t xml:space="preserve">Landkreis Entenhausen </w:t>
      </w:r>
      <w:r>
        <w:rPr>
          <w:sz w:val="20"/>
          <w:szCs w:val="20"/>
        </w:rPr>
        <w:br/>
      </w:r>
      <w:r w:rsidRPr="00791508">
        <w:rPr>
          <w:sz w:val="20"/>
          <w:szCs w:val="20"/>
        </w:rPr>
        <w:t xml:space="preserve">Entenplatz 1 </w:t>
      </w:r>
      <w:r>
        <w:rPr>
          <w:sz w:val="20"/>
          <w:szCs w:val="20"/>
        </w:rPr>
        <w:br/>
      </w:r>
      <w:r w:rsidRPr="00791508">
        <w:rPr>
          <w:sz w:val="20"/>
          <w:szCs w:val="20"/>
        </w:rPr>
        <w:t>Entenhausen</w:t>
      </w:r>
      <w:r>
        <w:rPr>
          <w:sz w:val="20"/>
          <w:szCs w:val="20"/>
        </w:rPr>
        <w:br/>
      </w:r>
      <w:r w:rsidRPr="00791508">
        <w:rPr>
          <w:sz w:val="20"/>
          <w:szCs w:val="20"/>
        </w:rPr>
        <w:t>88888</w:t>
      </w:r>
      <w:r>
        <w:rPr>
          <w:sz w:val="20"/>
          <w:szCs w:val="20"/>
        </w:rPr>
        <w:br/>
      </w:r>
      <w:r w:rsidRPr="00791508">
        <w:rPr>
          <w:sz w:val="20"/>
          <w:szCs w:val="20"/>
        </w:rPr>
        <w:t>Deutschland</w:t>
      </w:r>
      <w:r>
        <w:rPr>
          <w:sz w:val="20"/>
          <w:szCs w:val="20"/>
        </w:rPr>
        <w:br/>
      </w:r>
      <w:r w:rsidRPr="00791508">
        <w:rPr>
          <w:sz w:val="20"/>
          <w:szCs w:val="20"/>
        </w:rPr>
        <w:t xml:space="preserve">Kontaktstelle(n): Rechtsanwalt Prof. Dr. Holger Zuck </w:t>
      </w:r>
      <w:r>
        <w:rPr>
          <w:sz w:val="20"/>
          <w:szCs w:val="20"/>
        </w:rPr>
        <w:br/>
      </w:r>
      <w:r w:rsidRPr="00791508">
        <w:rPr>
          <w:sz w:val="20"/>
          <w:szCs w:val="20"/>
        </w:rPr>
        <w:t>Telefon: +49 7117824280</w:t>
      </w:r>
      <w:r>
        <w:rPr>
          <w:sz w:val="20"/>
          <w:szCs w:val="20"/>
        </w:rPr>
        <w:br/>
      </w:r>
      <w:r w:rsidRPr="00791508">
        <w:rPr>
          <w:sz w:val="20"/>
          <w:szCs w:val="20"/>
        </w:rPr>
        <w:t>E-Mail: entenhausen@kanzlei-zuck.de Fax: +49 71178242899</w:t>
      </w:r>
      <w:r>
        <w:rPr>
          <w:sz w:val="20"/>
          <w:szCs w:val="20"/>
        </w:rPr>
        <w:br/>
      </w:r>
      <w:r w:rsidRPr="00791508">
        <w:rPr>
          <w:sz w:val="20"/>
          <w:szCs w:val="20"/>
        </w:rPr>
        <w:t>NUTS-Code: DE150</w:t>
      </w:r>
      <w:r>
        <w:rPr>
          <w:sz w:val="20"/>
          <w:szCs w:val="20"/>
        </w:rPr>
        <w:br/>
      </w:r>
      <w:r w:rsidRPr="00791508">
        <w:rPr>
          <w:b/>
          <w:sz w:val="20"/>
          <w:szCs w:val="20"/>
        </w:rPr>
        <w:t>Internet-Adresse(n):</w:t>
      </w:r>
      <w:r>
        <w:rPr>
          <w:b/>
          <w:sz w:val="20"/>
          <w:szCs w:val="20"/>
        </w:rPr>
        <w:br/>
      </w:r>
      <w:r w:rsidRPr="00791508">
        <w:rPr>
          <w:sz w:val="20"/>
          <w:szCs w:val="20"/>
        </w:rPr>
        <w:t xml:space="preserve">Hauptadresse: </w:t>
      </w:r>
      <w:hyperlink r:id="rId5" w:history="1">
        <w:r w:rsidRPr="0029599E">
          <w:rPr>
            <w:rStyle w:val="Hyperlink"/>
            <w:sz w:val="20"/>
            <w:szCs w:val="20"/>
          </w:rPr>
          <w:t>www.entenhausen.de</w:t>
        </w:r>
      </w:hyperlink>
      <w:r>
        <w:rPr>
          <w:sz w:val="20"/>
          <w:szCs w:val="20"/>
        </w:rPr>
        <w:br/>
      </w:r>
      <w:r w:rsidRPr="00791508">
        <w:rPr>
          <w:sz w:val="20"/>
          <w:szCs w:val="20"/>
        </w:rPr>
        <w:t xml:space="preserve">Adresse des Beschafferprofils: </w:t>
      </w:r>
      <w:hyperlink r:id="rId6" w:history="1">
        <w:r w:rsidRPr="00AB3A6E">
          <w:rPr>
            <w:rStyle w:val="Hyperlink"/>
            <w:sz w:val="20"/>
            <w:szCs w:val="20"/>
          </w:rPr>
          <w:t>https://www.kanzlei-zuck.de/anforderungen-und-standards</w:t>
        </w:r>
      </w:hyperlink>
    </w:p>
    <w:p w:rsidR="00791508" w:rsidRPr="00AB3A6E" w:rsidRDefault="00791508" w:rsidP="00AB3A6E">
      <w:pPr>
        <w:ind w:left="709" w:hanging="709"/>
        <w:rPr>
          <w:b/>
          <w:sz w:val="20"/>
          <w:szCs w:val="20"/>
        </w:rPr>
      </w:pPr>
      <w:r w:rsidRPr="00791508">
        <w:rPr>
          <w:sz w:val="20"/>
          <w:szCs w:val="20"/>
        </w:rPr>
        <w:t>I.2)</w:t>
      </w:r>
      <w:r w:rsidRPr="00791508">
        <w:rPr>
          <w:sz w:val="20"/>
          <w:szCs w:val="20"/>
        </w:rPr>
        <w:tab/>
      </w:r>
      <w:r w:rsidRPr="00AB3A6E">
        <w:rPr>
          <w:b/>
          <w:sz w:val="20"/>
          <w:szCs w:val="20"/>
        </w:rPr>
        <w:t>Auftragsvergabe im Namen anderer zuständiger Behörden</w:t>
      </w:r>
    </w:p>
    <w:p w:rsidR="00791508" w:rsidRPr="00791508" w:rsidRDefault="00791508" w:rsidP="00AB3A6E">
      <w:pPr>
        <w:ind w:left="709" w:hanging="709"/>
        <w:rPr>
          <w:sz w:val="20"/>
          <w:szCs w:val="20"/>
        </w:rPr>
      </w:pPr>
      <w:r w:rsidRPr="00791508">
        <w:rPr>
          <w:sz w:val="20"/>
          <w:szCs w:val="20"/>
        </w:rPr>
        <w:t>I.3)</w:t>
      </w:r>
      <w:r w:rsidRPr="00791508">
        <w:rPr>
          <w:sz w:val="20"/>
          <w:szCs w:val="20"/>
        </w:rPr>
        <w:tab/>
      </w:r>
      <w:r w:rsidRPr="00AB3A6E">
        <w:rPr>
          <w:b/>
          <w:sz w:val="20"/>
          <w:szCs w:val="20"/>
        </w:rPr>
        <w:t>Kommunikation</w:t>
      </w:r>
      <w:r w:rsidR="00AB3A6E">
        <w:rPr>
          <w:b/>
          <w:sz w:val="20"/>
          <w:szCs w:val="20"/>
        </w:rPr>
        <w:br/>
      </w:r>
      <w:r w:rsidRPr="00791508">
        <w:rPr>
          <w:sz w:val="20"/>
          <w:szCs w:val="20"/>
        </w:rPr>
        <w:t xml:space="preserve">Weitere Auskünfte erteilen/erteilt folgende Kontaktstelle: </w:t>
      </w:r>
      <w:r w:rsidR="00AB3A6E">
        <w:rPr>
          <w:sz w:val="20"/>
          <w:szCs w:val="20"/>
        </w:rPr>
        <w:br/>
      </w:r>
      <w:r w:rsidRPr="00791508">
        <w:rPr>
          <w:sz w:val="20"/>
          <w:szCs w:val="20"/>
        </w:rPr>
        <w:t>Anwaltskanzlei Zuck</w:t>
      </w:r>
      <w:r w:rsidR="00AB3A6E">
        <w:rPr>
          <w:sz w:val="20"/>
          <w:szCs w:val="20"/>
        </w:rPr>
        <w:br/>
      </w:r>
      <w:r w:rsidRPr="00791508">
        <w:rPr>
          <w:sz w:val="20"/>
          <w:szCs w:val="20"/>
        </w:rPr>
        <w:t>Vaihinger Markt 3</w:t>
      </w:r>
      <w:r w:rsidR="00AB3A6E">
        <w:rPr>
          <w:sz w:val="20"/>
          <w:szCs w:val="20"/>
        </w:rPr>
        <w:br/>
      </w:r>
      <w:r w:rsidRPr="00791508">
        <w:rPr>
          <w:sz w:val="20"/>
          <w:szCs w:val="20"/>
        </w:rPr>
        <w:t xml:space="preserve">Stuttgart 70563 </w:t>
      </w:r>
      <w:r w:rsidR="00AB3A6E">
        <w:rPr>
          <w:sz w:val="20"/>
          <w:szCs w:val="20"/>
        </w:rPr>
        <w:br/>
      </w:r>
      <w:r w:rsidRPr="00791508">
        <w:rPr>
          <w:sz w:val="20"/>
          <w:szCs w:val="20"/>
        </w:rPr>
        <w:t>Deutschland</w:t>
      </w:r>
      <w:r w:rsidR="00AB3A6E">
        <w:rPr>
          <w:sz w:val="20"/>
          <w:szCs w:val="20"/>
        </w:rPr>
        <w:br/>
      </w:r>
      <w:r w:rsidRPr="00791508">
        <w:rPr>
          <w:sz w:val="20"/>
          <w:szCs w:val="20"/>
        </w:rPr>
        <w:t xml:space="preserve">Kontaktstelle(n): Rechtsanwalt Prof. Dr. H. Zuck </w:t>
      </w:r>
      <w:r w:rsidR="00AB3A6E">
        <w:rPr>
          <w:sz w:val="20"/>
          <w:szCs w:val="20"/>
        </w:rPr>
        <w:br/>
      </w:r>
      <w:r w:rsidRPr="00791508">
        <w:rPr>
          <w:sz w:val="20"/>
          <w:szCs w:val="20"/>
        </w:rPr>
        <w:t>Telefon: +49 7117824280</w:t>
      </w:r>
      <w:r w:rsidR="00AB3A6E">
        <w:rPr>
          <w:sz w:val="20"/>
          <w:szCs w:val="20"/>
        </w:rPr>
        <w:br/>
      </w:r>
      <w:r w:rsidRPr="00791508">
        <w:rPr>
          <w:sz w:val="20"/>
          <w:szCs w:val="20"/>
        </w:rPr>
        <w:t xml:space="preserve">E-Mail: entenhausen@kanzlei-zuck.de </w:t>
      </w:r>
      <w:r w:rsidR="00AB3A6E">
        <w:rPr>
          <w:sz w:val="20"/>
          <w:szCs w:val="20"/>
        </w:rPr>
        <w:br/>
      </w:r>
      <w:r w:rsidRPr="00791508">
        <w:rPr>
          <w:sz w:val="20"/>
          <w:szCs w:val="20"/>
        </w:rPr>
        <w:t xml:space="preserve">Fax: +49 71178242899 </w:t>
      </w:r>
      <w:r w:rsidR="00AB3A6E">
        <w:rPr>
          <w:sz w:val="20"/>
          <w:szCs w:val="20"/>
        </w:rPr>
        <w:br/>
      </w:r>
      <w:r w:rsidRPr="00791508">
        <w:rPr>
          <w:sz w:val="20"/>
          <w:szCs w:val="20"/>
        </w:rPr>
        <w:t>NUTS-Code: DE111</w:t>
      </w:r>
      <w:r w:rsidR="00AB3A6E">
        <w:rPr>
          <w:sz w:val="20"/>
          <w:szCs w:val="20"/>
        </w:rPr>
        <w:br/>
      </w:r>
      <w:r w:rsidRPr="00AB3A6E">
        <w:rPr>
          <w:b/>
          <w:sz w:val="20"/>
          <w:szCs w:val="20"/>
        </w:rPr>
        <w:t>Internet-Adresse(n):</w:t>
      </w:r>
      <w:r w:rsidR="00AB3A6E">
        <w:rPr>
          <w:b/>
          <w:sz w:val="20"/>
          <w:szCs w:val="20"/>
        </w:rPr>
        <w:br/>
      </w:r>
      <w:r w:rsidRPr="00791508">
        <w:rPr>
          <w:sz w:val="20"/>
          <w:szCs w:val="20"/>
        </w:rPr>
        <w:t xml:space="preserve">Hauptadresse: </w:t>
      </w:r>
      <w:hyperlink r:id="rId7" w:history="1">
        <w:r w:rsidR="00AB3A6E" w:rsidRPr="00AB3A6E">
          <w:rPr>
            <w:rStyle w:val="Hyperlink"/>
            <w:sz w:val="20"/>
            <w:szCs w:val="20"/>
          </w:rPr>
          <w:t>https://www.kanzlei-zuck.de</w:t>
        </w:r>
      </w:hyperlink>
      <w:r w:rsidR="00AB3A6E">
        <w:rPr>
          <w:sz w:val="20"/>
          <w:szCs w:val="20"/>
        </w:rPr>
        <w:br/>
      </w:r>
      <w:r w:rsidRPr="00791508">
        <w:rPr>
          <w:sz w:val="20"/>
          <w:szCs w:val="20"/>
        </w:rPr>
        <w:t xml:space="preserve">Adresse des Beschafferprofils: </w:t>
      </w:r>
      <w:hyperlink r:id="rId8" w:history="1">
        <w:r w:rsidRPr="00AB3A6E">
          <w:rPr>
            <w:rStyle w:val="Hyperlink"/>
            <w:sz w:val="20"/>
            <w:szCs w:val="20"/>
          </w:rPr>
          <w:t>https://www.kanzlei-zuck.de/anforderungen-und-standards</w:t>
        </w:r>
      </w:hyperlink>
    </w:p>
    <w:p w:rsidR="00791508" w:rsidRPr="00791508" w:rsidRDefault="00791508" w:rsidP="00AB3A6E">
      <w:pPr>
        <w:ind w:left="709" w:hanging="709"/>
        <w:rPr>
          <w:sz w:val="20"/>
          <w:szCs w:val="20"/>
        </w:rPr>
      </w:pPr>
      <w:r w:rsidRPr="00791508">
        <w:rPr>
          <w:sz w:val="20"/>
          <w:szCs w:val="20"/>
        </w:rPr>
        <w:t>I.4)</w:t>
      </w:r>
      <w:r w:rsidRPr="00791508">
        <w:rPr>
          <w:sz w:val="20"/>
          <w:szCs w:val="20"/>
        </w:rPr>
        <w:tab/>
      </w:r>
      <w:r w:rsidRPr="00AB3A6E">
        <w:rPr>
          <w:b/>
          <w:sz w:val="20"/>
          <w:szCs w:val="20"/>
        </w:rPr>
        <w:t>Art der zuständigen Behörde</w:t>
      </w:r>
      <w:r w:rsidR="00AB3A6E">
        <w:rPr>
          <w:b/>
          <w:sz w:val="20"/>
          <w:szCs w:val="20"/>
        </w:rPr>
        <w:br/>
      </w:r>
      <w:r w:rsidRPr="00791508">
        <w:rPr>
          <w:sz w:val="20"/>
          <w:szCs w:val="20"/>
        </w:rPr>
        <w:t>Regional- oder Kommunalbehörde</w:t>
      </w:r>
    </w:p>
    <w:p w:rsidR="00791508" w:rsidRPr="00AB3A6E" w:rsidRDefault="00791508" w:rsidP="00AB3A6E">
      <w:pPr>
        <w:ind w:left="709" w:hanging="709"/>
        <w:rPr>
          <w:b/>
          <w:sz w:val="20"/>
          <w:szCs w:val="20"/>
          <w:u w:val="single"/>
        </w:rPr>
      </w:pPr>
      <w:r w:rsidRPr="00AB3A6E">
        <w:rPr>
          <w:b/>
          <w:sz w:val="20"/>
          <w:szCs w:val="20"/>
          <w:u w:val="single"/>
        </w:rPr>
        <w:t>Abschnitt II: Gegenstand</w:t>
      </w:r>
    </w:p>
    <w:p w:rsidR="00791508" w:rsidRPr="00791508" w:rsidRDefault="00791508" w:rsidP="00AB3A6E">
      <w:pPr>
        <w:ind w:left="709" w:hanging="709"/>
        <w:rPr>
          <w:sz w:val="20"/>
          <w:szCs w:val="20"/>
        </w:rPr>
      </w:pPr>
      <w:r w:rsidRPr="00791508">
        <w:rPr>
          <w:sz w:val="20"/>
          <w:szCs w:val="20"/>
        </w:rPr>
        <w:t>II.1)</w:t>
      </w:r>
      <w:r w:rsidRPr="00791508">
        <w:rPr>
          <w:sz w:val="20"/>
          <w:szCs w:val="20"/>
        </w:rPr>
        <w:tab/>
      </w:r>
      <w:r w:rsidRPr="00AB3A6E">
        <w:rPr>
          <w:b/>
          <w:sz w:val="20"/>
          <w:szCs w:val="20"/>
        </w:rPr>
        <w:t>Umfang der Beschaffung</w:t>
      </w:r>
    </w:p>
    <w:p w:rsidR="00791508" w:rsidRPr="00791508" w:rsidRDefault="00791508" w:rsidP="00AB3A6E">
      <w:pPr>
        <w:ind w:left="709" w:hanging="709"/>
        <w:rPr>
          <w:sz w:val="20"/>
          <w:szCs w:val="20"/>
        </w:rPr>
      </w:pPr>
      <w:r w:rsidRPr="00791508">
        <w:rPr>
          <w:sz w:val="20"/>
          <w:szCs w:val="20"/>
        </w:rPr>
        <w:t>II.1.1)</w:t>
      </w:r>
      <w:r w:rsidRPr="00791508">
        <w:rPr>
          <w:sz w:val="20"/>
          <w:szCs w:val="20"/>
        </w:rPr>
        <w:tab/>
      </w:r>
      <w:r w:rsidRPr="00AB3A6E">
        <w:rPr>
          <w:b/>
          <w:sz w:val="20"/>
          <w:szCs w:val="20"/>
        </w:rPr>
        <w:t>Bezeichnung des Auftrags:</w:t>
      </w:r>
      <w:r w:rsidR="00AB3A6E">
        <w:rPr>
          <w:b/>
          <w:sz w:val="20"/>
          <w:szCs w:val="20"/>
        </w:rPr>
        <w:br/>
      </w:r>
      <w:r w:rsidRPr="00791508">
        <w:rPr>
          <w:sz w:val="20"/>
          <w:szCs w:val="20"/>
        </w:rPr>
        <w:t>Linie 996</w:t>
      </w:r>
    </w:p>
    <w:p w:rsidR="00791508" w:rsidRPr="00791508" w:rsidRDefault="00791508" w:rsidP="00AB3A6E">
      <w:pPr>
        <w:ind w:left="709" w:hanging="709"/>
        <w:rPr>
          <w:sz w:val="20"/>
          <w:szCs w:val="20"/>
        </w:rPr>
      </w:pPr>
      <w:r w:rsidRPr="00791508">
        <w:rPr>
          <w:sz w:val="20"/>
          <w:szCs w:val="20"/>
        </w:rPr>
        <w:t>II.1.2)</w:t>
      </w:r>
      <w:r w:rsidRPr="00791508">
        <w:rPr>
          <w:sz w:val="20"/>
          <w:szCs w:val="20"/>
        </w:rPr>
        <w:tab/>
      </w:r>
      <w:r w:rsidRPr="00AB3A6E">
        <w:rPr>
          <w:b/>
          <w:sz w:val="20"/>
          <w:szCs w:val="20"/>
        </w:rPr>
        <w:t>CPV-Code Hauptteil</w:t>
      </w:r>
      <w:r w:rsidR="00AB3A6E">
        <w:rPr>
          <w:b/>
          <w:sz w:val="20"/>
          <w:szCs w:val="20"/>
        </w:rPr>
        <w:br/>
      </w:r>
      <w:r w:rsidRPr="00791508">
        <w:rPr>
          <w:sz w:val="20"/>
          <w:szCs w:val="20"/>
        </w:rPr>
        <w:t>60112000</w:t>
      </w:r>
    </w:p>
    <w:p w:rsidR="00791508" w:rsidRPr="00791508" w:rsidRDefault="00791508" w:rsidP="00AB3A6E">
      <w:pPr>
        <w:ind w:left="709" w:hanging="709"/>
        <w:rPr>
          <w:sz w:val="20"/>
          <w:szCs w:val="20"/>
        </w:rPr>
      </w:pPr>
      <w:r w:rsidRPr="00791508">
        <w:rPr>
          <w:sz w:val="20"/>
          <w:szCs w:val="20"/>
        </w:rPr>
        <w:t>II.1.2)</w:t>
      </w:r>
      <w:r w:rsidRPr="00791508">
        <w:rPr>
          <w:sz w:val="20"/>
          <w:szCs w:val="20"/>
        </w:rPr>
        <w:tab/>
      </w:r>
      <w:r w:rsidRPr="00AB3A6E">
        <w:rPr>
          <w:b/>
          <w:sz w:val="20"/>
          <w:szCs w:val="20"/>
        </w:rPr>
        <w:t>Art des Auftrags</w:t>
      </w:r>
      <w:r w:rsidR="00AB3A6E">
        <w:rPr>
          <w:b/>
          <w:sz w:val="20"/>
          <w:szCs w:val="20"/>
        </w:rPr>
        <w:br/>
      </w:r>
      <w:r w:rsidRPr="00791508">
        <w:rPr>
          <w:sz w:val="20"/>
          <w:szCs w:val="20"/>
        </w:rPr>
        <w:t>Dienstleistungen</w:t>
      </w:r>
      <w:r w:rsidR="00AB3A6E">
        <w:rPr>
          <w:sz w:val="20"/>
          <w:szCs w:val="20"/>
        </w:rPr>
        <w:br/>
      </w:r>
      <w:r w:rsidRPr="00791508">
        <w:rPr>
          <w:sz w:val="20"/>
          <w:szCs w:val="20"/>
        </w:rPr>
        <w:t>Vom öffentlichen Verkehrswesen abgedeckte Bereiche: Busverkehr (innerstädtisch/regional)</w:t>
      </w:r>
    </w:p>
    <w:p w:rsidR="00791508" w:rsidRPr="00791508" w:rsidRDefault="00791508" w:rsidP="00AB3A6E">
      <w:pPr>
        <w:ind w:left="709" w:hanging="709"/>
        <w:rPr>
          <w:sz w:val="20"/>
          <w:szCs w:val="20"/>
        </w:rPr>
      </w:pPr>
      <w:r w:rsidRPr="00791508">
        <w:rPr>
          <w:sz w:val="20"/>
          <w:szCs w:val="20"/>
        </w:rPr>
        <w:t>II.2)</w:t>
      </w:r>
      <w:r w:rsidRPr="00791508">
        <w:rPr>
          <w:sz w:val="20"/>
          <w:szCs w:val="20"/>
        </w:rPr>
        <w:tab/>
      </w:r>
      <w:r w:rsidRPr="00AB3A6E">
        <w:rPr>
          <w:b/>
          <w:sz w:val="20"/>
          <w:szCs w:val="20"/>
        </w:rPr>
        <w:t>Beschreibung</w:t>
      </w:r>
    </w:p>
    <w:p w:rsidR="00791508" w:rsidRPr="00791508" w:rsidRDefault="00791508" w:rsidP="00AB3A6E">
      <w:pPr>
        <w:ind w:left="709" w:hanging="709"/>
        <w:rPr>
          <w:sz w:val="20"/>
          <w:szCs w:val="20"/>
        </w:rPr>
      </w:pPr>
      <w:r w:rsidRPr="00791508">
        <w:rPr>
          <w:sz w:val="20"/>
          <w:szCs w:val="20"/>
        </w:rPr>
        <w:t>II.2.2)</w:t>
      </w:r>
      <w:r w:rsidRPr="00791508">
        <w:rPr>
          <w:sz w:val="20"/>
          <w:szCs w:val="20"/>
        </w:rPr>
        <w:tab/>
      </w:r>
      <w:r w:rsidRPr="00AB3A6E">
        <w:rPr>
          <w:b/>
          <w:sz w:val="20"/>
          <w:szCs w:val="20"/>
        </w:rPr>
        <w:t>Weitere® CPV-Code(s)</w:t>
      </w:r>
    </w:p>
    <w:p w:rsidR="00791508" w:rsidRPr="00791508" w:rsidRDefault="00791508" w:rsidP="00AB3A6E">
      <w:pPr>
        <w:ind w:left="709" w:hanging="709"/>
        <w:rPr>
          <w:sz w:val="20"/>
          <w:szCs w:val="20"/>
        </w:rPr>
      </w:pPr>
      <w:r w:rsidRPr="00791508">
        <w:rPr>
          <w:sz w:val="20"/>
          <w:szCs w:val="20"/>
        </w:rPr>
        <w:t>II.2.3)</w:t>
      </w:r>
      <w:r w:rsidRPr="00791508">
        <w:rPr>
          <w:sz w:val="20"/>
          <w:szCs w:val="20"/>
        </w:rPr>
        <w:tab/>
      </w:r>
      <w:r w:rsidRPr="00AB3A6E">
        <w:rPr>
          <w:b/>
          <w:sz w:val="20"/>
          <w:szCs w:val="20"/>
        </w:rPr>
        <w:t>Erfüllungsort</w:t>
      </w:r>
      <w:r w:rsidR="00AB3A6E">
        <w:rPr>
          <w:b/>
          <w:sz w:val="20"/>
          <w:szCs w:val="20"/>
        </w:rPr>
        <w:br/>
      </w:r>
      <w:r w:rsidRPr="00AB3A6E">
        <w:rPr>
          <w:b/>
          <w:sz w:val="20"/>
          <w:szCs w:val="20"/>
        </w:rPr>
        <w:t>NUTS-Code:</w:t>
      </w:r>
      <w:r w:rsidRPr="00791508">
        <w:rPr>
          <w:sz w:val="20"/>
          <w:szCs w:val="20"/>
        </w:rPr>
        <w:t xml:space="preserve"> DE150</w:t>
      </w:r>
      <w:r w:rsidR="00AB3A6E">
        <w:rPr>
          <w:sz w:val="20"/>
          <w:szCs w:val="20"/>
        </w:rPr>
        <w:br/>
      </w:r>
      <w:r w:rsidRPr="00791508">
        <w:rPr>
          <w:sz w:val="20"/>
          <w:szCs w:val="20"/>
        </w:rPr>
        <w:t>Hauptort der Ausführung:</w:t>
      </w:r>
      <w:r w:rsidR="00AB3A6E">
        <w:rPr>
          <w:sz w:val="20"/>
          <w:szCs w:val="20"/>
        </w:rPr>
        <w:br/>
      </w:r>
      <w:r w:rsidRPr="00791508">
        <w:rPr>
          <w:sz w:val="20"/>
          <w:szCs w:val="20"/>
        </w:rPr>
        <w:t>Landkreis Entenhausen</w:t>
      </w:r>
    </w:p>
    <w:p w:rsidR="00791508" w:rsidRPr="00791508" w:rsidRDefault="00791508" w:rsidP="00AB3A6E">
      <w:pPr>
        <w:ind w:left="709" w:hanging="709"/>
        <w:rPr>
          <w:sz w:val="20"/>
          <w:szCs w:val="20"/>
        </w:rPr>
      </w:pPr>
      <w:r w:rsidRPr="00791508">
        <w:rPr>
          <w:sz w:val="20"/>
          <w:szCs w:val="20"/>
        </w:rPr>
        <w:t>II.2.4)</w:t>
      </w:r>
      <w:r w:rsidRPr="00791508">
        <w:rPr>
          <w:sz w:val="20"/>
          <w:szCs w:val="20"/>
        </w:rPr>
        <w:tab/>
        <w:t>Beschreibung der Beschaffung:</w:t>
      </w:r>
      <w:r w:rsidR="00AB3A6E">
        <w:rPr>
          <w:sz w:val="20"/>
          <w:szCs w:val="20"/>
        </w:rPr>
        <w:br/>
      </w:r>
      <w:r w:rsidRPr="00791508">
        <w:rPr>
          <w:sz w:val="20"/>
          <w:szCs w:val="20"/>
        </w:rPr>
        <w:t>Betrieb des Linienverkehrs auf der Linie 996 Gansdorf – Hühnerbach – Entenhausen.</w:t>
      </w:r>
      <w:r w:rsidR="00AB3A6E">
        <w:rPr>
          <w:sz w:val="20"/>
          <w:szCs w:val="20"/>
        </w:rPr>
        <w:br/>
      </w:r>
      <w:r w:rsidRPr="00791508">
        <w:rPr>
          <w:sz w:val="20"/>
          <w:szCs w:val="20"/>
        </w:rPr>
        <w:t>Ca. 117.000 km p.a.</w:t>
      </w:r>
      <w:r w:rsidR="00AB3A6E">
        <w:rPr>
          <w:sz w:val="20"/>
          <w:szCs w:val="20"/>
        </w:rPr>
        <w:br/>
      </w:r>
      <w:r w:rsidRPr="00791508">
        <w:rPr>
          <w:sz w:val="20"/>
          <w:szCs w:val="20"/>
        </w:rPr>
        <w:t>Die Anforderungen und Standards können hier heruntergeladen</w:t>
      </w:r>
      <w:r w:rsidR="00AB3A6E">
        <w:rPr>
          <w:sz w:val="20"/>
          <w:szCs w:val="20"/>
        </w:rPr>
        <w:t xml:space="preserve"> </w:t>
      </w:r>
      <w:r w:rsidRPr="00791508">
        <w:rPr>
          <w:sz w:val="20"/>
          <w:szCs w:val="20"/>
        </w:rPr>
        <w:t>werden:</w:t>
      </w:r>
      <w:r w:rsidR="00AB3A6E">
        <w:rPr>
          <w:sz w:val="20"/>
          <w:szCs w:val="20"/>
        </w:rPr>
        <w:br/>
      </w:r>
      <w:hyperlink r:id="rId9" w:history="1">
        <w:r w:rsidRPr="00AB3A6E">
          <w:rPr>
            <w:rStyle w:val="Hyperlink"/>
            <w:sz w:val="20"/>
            <w:szCs w:val="20"/>
          </w:rPr>
          <w:t>https://www.kanzlei-zuck.de/anforderungen-und-standards</w:t>
        </w:r>
      </w:hyperlink>
      <w:r w:rsidR="00AB3A6E">
        <w:rPr>
          <w:sz w:val="20"/>
          <w:szCs w:val="20"/>
        </w:rPr>
        <w:br/>
      </w:r>
      <w:r w:rsidRPr="00791508">
        <w:rPr>
          <w:sz w:val="20"/>
          <w:szCs w:val="20"/>
        </w:rPr>
        <w:t>(Art und Menge der Dienstleistungen oder Angabe von Bedürfnissen und Anforderungen)</w:t>
      </w:r>
    </w:p>
    <w:p w:rsidR="00AB3A6E" w:rsidRDefault="00791508" w:rsidP="00AB3A6E">
      <w:pPr>
        <w:ind w:left="709" w:hanging="709"/>
        <w:rPr>
          <w:sz w:val="20"/>
          <w:szCs w:val="20"/>
        </w:rPr>
      </w:pPr>
      <w:r w:rsidRPr="00791508">
        <w:rPr>
          <w:sz w:val="20"/>
          <w:szCs w:val="20"/>
        </w:rPr>
        <w:t>II.2.7)</w:t>
      </w:r>
      <w:r w:rsidRPr="00791508">
        <w:rPr>
          <w:sz w:val="20"/>
          <w:szCs w:val="20"/>
        </w:rPr>
        <w:tab/>
      </w:r>
      <w:r w:rsidRPr="00AB3A6E">
        <w:rPr>
          <w:b/>
          <w:sz w:val="20"/>
          <w:szCs w:val="20"/>
        </w:rPr>
        <w:t>Voraussichtlicher Vertragsbeginn und Laufzeit des Vertrags</w:t>
      </w:r>
      <w:r w:rsidR="00AB3A6E">
        <w:rPr>
          <w:b/>
          <w:sz w:val="20"/>
          <w:szCs w:val="20"/>
        </w:rPr>
        <w:br/>
      </w:r>
      <w:r w:rsidRPr="00791508">
        <w:rPr>
          <w:sz w:val="20"/>
          <w:szCs w:val="20"/>
        </w:rPr>
        <w:t xml:space="preserve">Beginn: 12/12/2021 </w:t>
      </w:r>
      <w:r w:rsidR="00AB3A6E">
        <w:rPr>
          <w:sz w:val="20"/>
          <w:szCs w:val="20"/>
        </w:rPr>
        <w:br/>
      </w:r>
      <w:r w:rsidRPr="00791508">
        <w:rPr>
          <w:sz w:val="20"/>
          <w:szCs w:val="20"/>
        </w:rPr>
        <w:t xml:space="preserve">Laufzeit in Monaten: 120 </w:t>
      </w:r>
    </w:p>
    <w:p w:rsidR="00791508" w:rsidRPr="00AB3A6E" w:rsidRDefault="00791508" w:rsidP="00AB3A6E">
      <w:pPr>
        <w:ind w:left="709" w:hanging="709"/>
        <w:rPr>
          <w:b/>
          <w:sz w:val="20"/>
          <w:szCs w:val="20"/>
          <w:u w:val="single"/>
        </w:rPr>
      </w:pPr>
      <w:r w:rsidRPr="00AB3A6E">
        <w:rPr>
          <w:b/>
          <w:sz w:val="20"/>
          <w:szCs w:val="20"/>
          <w:u w:val="single"/>
        </w:rPr>
        <w:t>Abschnitt IV: Verfahren</w:t>
      </w:r>
    </w:p>
    <w:p w:rsidR="00791508" w:rsidRPr="00791508" w:rsidRDefault="00791508" w:rsidP="00AB3A6E">
      <w:pPr>
        <w:ind w:left="709" w:hanging="709"/>
        <w:rPr>
          <w:sz w:val="20"/>
          <w:szCs w:val="20"/>
        </w:rPr>
      </w:pPr>
      <w:r w:rsidRPr="00791508">
        <w:rPr>
          <w:sz w:val="20"/>
          <w:szCs w:val="20"/>
        </w:rPr>
        <w:t>IV.1)</w:t>
      </w:r>
      <w:r w:rsidRPr="00791508">
        <w:rPr>
          <w:sz w:val="20"/>
          <w:szCs w:val="20"/>
        </w:rPr>
        <w:tab/>
      </w:r>
      <w:r w:rsidRPr="00AB3A6E">
        <w:rPr>
          <w:b/>
          <w:sz w:val="20"/>
          <w:szCs w:val="20"/>
        </w:rPr>
        <w:t>Verfahrensart</w:t>
      </w:r>
      <w:r w:rsidR="00AB3A6E">
        <w:rPr>
          <w:b/>
          <w:sz w:val="20"/>
          <w:szCs w:val="20"/>
        </w:rPr>
        <w:br/>
      </w:r>
      <w:r w:rsidRPr="00791508">
        <w:rPr>
          <w:sz w:val="20"/>
          <w:szCs w:val="20"/>
        </w:rPr>
        <w:t>Direkte Vergabe eines kleinen Auftrags (Art. 5.4 von 1370/2007)</w:t>
      </w:r>
    </w:p>
    <w:p w:rsidR="00791508" w:rsidRPr="00AB3A6E" w:rsidRDefault="00791508" w:rsidP="00AB3A6E">
      <w:pPr>
        <w:ind w:left="709" w:hanging="709"/>
        <w:rPr>
          <w:b/>
          <w:sz w:val="20"/>
          <w:szCs w:val="20"/>
          <w:u w:val="single"/>
        </w:rPr>
      </w:pPr>
      <w:r w:rsidRPr="00AB3A6E">
        <w:rPr>
          <w:b/>
          <w:sz w:val="20"/>
          <w:szCs w:val="20"/>
          <w:u w:val="single"/>
        </w:rPr>
        <w:t>Abschnitt VI: Weitere Angaben</w:t>
      </w:r>
    </w:p>
    <w:p w:rsidR="00791508" w:rsidRPr="00791508" w:rsidRDefault="00791508" w:rsidP="00AB3A6E">
      <w:pPr>
        <w:ind w:left="709" w:hanging="709"/>
        <w:rPr>
          <w:sz w:val="20"/>
          <w:szCs w:val="20"/>
        </w:rPr>
      </w:pPr>
      <w:r w:rsidRPr="00791508">
        <w:rPr>
          <w:sz w:val="20"/>
          <w:szCs w:val="20"/>
        </w:rPr>
        <w:t>VI.1)</w:t>
      </w:r>
      <w:r w:rsidRPr="00791508">
        <w:rPr>
          <w:sz w:val="20"/>
          <w:szCs w:val="20"/>
        </w:rPr>
        <w:tab/>
      </w:r>
      <w:r w:rsidRPr="00AB3A6E">
        <w:rPr>
          <w:b/>
          <w:sz w:val="20"/>
          <w:szCs w:val="20"/>
        </w:rPr>
        <w:t>Zusätzliche Angaben:</w:t>
      </w:r>
      <w:r w:rsidR="00AB3A6E">
        <w:rPr>
          <w:b/>
          <w:sz w:val="20"/>
          <w:szCs w:val="20"/>
        </w:rPr>
        <w:br/>
      </w:r>
      <w:r w:rsidRPr="00791508">
        <w:rPr>
          <w:sz w:val="20"/>
          <w:szCs w:val="20"/>
        </w:rPr>
        <w:t>Rechtsbehelfsverfahren und Nachprüfungsverfahren sowie Fragen zu diesen Verfahren können bei folgender Stelle eingereicht werden:</w:t>
      </w:r>
      <w:r w:rsidR="00AB3A6E">
        <w:rPr>
          <w:sz w:val="20"/>
          <w:szCs w:val="20"/>
        </w:rPr>
        <w:br/>
      </w:r>
      <w:r w:rsidRPr="00791508">
        <w:rPr>
          <w:sz w:val="20"/>
          <w:szCs w:val="20"/>
        </w:rPr>
        <w:t>Vergabekammer Baden-Württemberg im Regierungspräsidium Karlsruhe Durlacher Allee 100,</w:t>
      </w:r>
      <w:r w:rsidR="00AB3A6E">
        <w:rPr>
          <w:sz w:val="20"/>
          <w:szCs w:val="20"/>
        </w:rPr>
        <w:t xml:space="preserve"> </w:t>
      </w:r>
      <w:r w:rsidRPr="00791508">
        <w:rPr>
          <w:sz w:val="20"/>
          <w:szCs w:val="20"/>
        </w:rPr>
        <w:t>76137 Karlsruhe,</w:t>
      </w:r>
      <w:r w:rsidR="00AB3A6E">
        <w:rPr>
          <w:sz w:val="20"/>
          <w:szCs w:val="20"/>
        </w:rPr>
        <w:br/>
      </w:r>
      <w:r w:rsidRPr="00791508">
        <w:rPr>
          <w:sz w:val="20"/>
          <w:szCs w:val="20"/>
        </w:rPr>
        <w:t>Tel. +49 7219268730, Telefax +49 7219263985</w:t>
      </w:r>
      <w:r w:rsidR="00AB3A6E">
        <w:rPr>
          <w:sz w:val="20"/>
          <w:szCs w:val="20"/>
        </w:rPr>
        <w:br/>
      </w:r>
      <w:r w:rsidRPr="00791508">
        <w:rPr>
          <w:sz w:val="20"/>
          <w:szCs w:val="20"/>
        </w:rPr>
        <w:t xml:space="preserve">E-Mail: </w:t>
      </w:r>
      <w:hyperlink r:id="rId10" w:history="1">
        <w:r w:rsidR="00AB3A6E" w:rsidRPr="0029599E">
          <w:rPr>
            <w:rStyle w:val="Hyperlink"/>
            <w:sz w:val="20"/>
            <w:szCs w:val="20"/>
          </w:rPr>
          <w:t>poststelle@rpk.bwl.de</w:t>
        </w:r>
      </w:hyperlink>
      <w:r w:rsidR="00AB3A6E">
        <w:rPr>
          <w:sz w:val="20"/>
          <w:szCs w:val="20"/>
        </w:rPr>
        <w:br/>
      </w:r>
      <w:r w:rsidRPr="00791508">
        <w:rPr>
          <w:sz w:val="20"/>
          <w:szCs w:val="20"/>
        </w:rPr>
        <w:t>Internetadresse:</w:t>
      </w:r>
      <w:r w:rsidR="00AB3A6E">
        <w:rPr>
          <w:sz w:val="20"/>
          <w:szCs w:val="20"/>
        </w:rPr>
        <w:t xml:space="preserve"> </w:t>
      </w:r>
      <w:hyperlink r:id="rId11" w:history="1">
        <w:r w:rsidR="00AB3A6E" w:rsidRPr="00AB3A6E">
          <w:rPr>
            <w:rStyle w:val="Hyperlink"/>
            <w:sz w:val="20"/>
            <w:szCs w:val="20"/>
          </w:rPr>
          <w:t>https://rp.baden-wuerttemberg.de/rpk/abt1/ref15/</w:t>
        </w:r>
      </w:hyperlink>
      <w:r w:rsidR="00AB3A6E">
        <w:rPr>
          <w:sz w:val="20"/>
          <w:szCs w:val="20"/>
        </w:rPr>
        <w:br/>
      </w:r>
      <w:r w:rsidRPr="00791508">
        <w:rPr>
          <w:sz w:val="20"/>
          <w:szCs w:val="20"/>
        </w:rPr>
        <w:t>Die Fristen für die Einleitung eines Nachprüfungsverfahrens ergeben sich aus den §§ 135 und 160 GWB, die auch bei Vergaben nach Art. 5 Abs. 2 bis 5 der VO (EG) Nr. 1370/2007 anwendbar sind (vgl. § 8 Abs. 7 Satz 1 PBefG).</w:t>
      </w:r>
      <w:r w:rsidR="00AB3A6E">
        <w:rPr>
          <w:sz w:val="20"/>
          <w:szCs w:val="20"/>
        </w:rPr>
        <w:br/>
      </w:r>
      <w:r w:rsidRPr="00791508">
        <w:rPr>
          <w:sz w:val="20"/>
          <w:szCs w:val="20"/>
        </w:rPr>
        <w:t>Hinweis auf § 12 Abs. 6 PBefG:</w:t>
      </w:r>
      <w:r w:rsidR="00AB3A6E">
        <w:rPr>
          <w:sz w:val="20"/>
          <w:szCs w:val="20"/>
        </w:rPr>
        <w:br/>
      </w:r>
      <w:r w:rsidRPr="00791508">
        <w:rPr>
          <w:sz w:val="20"/>
          <w:szCs w:val="20"/>
        </w:rPr>
        <w:t>Beabsichtigt die zuständige Behörde die Vergabe eines öffentlichen Dienstleistungsauftrages nach Artikel 5 Absatz 2 bis 4 der Verordnung (EG) Nr. 1370/2007 oder nach dem Vierten Teil des Gesetzes gegen Wettbewerbsbesc</w:t>
      </w:r>
      <w:r w:rsidR="00AB3A6E">
        <w:rPr>
          <w:sz w:val="20"/>
          <w:szCs w:val="20"/>
        </w:rPr>
        <w:t xml:space="preserve">hränkungen, ist der Antrag auf </w:t>
      </w:r>
      <w:r w:rsidRPr="00791508">
        <w:rPr>
          <w:sz w:val="20"/>
          <w:szCs w:val="20"/>
        </w:rPr>
        <w:t>Erteilung einer Genehmigung für einen eigenwirtschaftlichen Verkehr mit Straßenbahnen, Obussen oder Kraftfahrzeugen im Linienverkehr spätestens drei Monate nach der Vorabbekanntmachung zu stellen. Die Genehmigungsbehörde kann im Einvernehmen mit dem Aufgabenträger verspätete Anträge zulassen. Das Einvernehmen des Aufgabenträgers nach Satz 2 gilt als erteilt, wenn der von dem Aufgabenträger beauftragte Verkehr den im Rahmen der Vorabbekanntmachung gesetzten Anforderungen nach § 8a Absatz 2 Satz 3 bis 5 nicht entspricht.</w:t>
      </w:r>
      <w:r w:rsidR="00AB3A6E">
        <w:rPr>
          <w:sz w:val="20"/>
          <w:szCs w:val="20"/>
        </w:rPr>
        <w:br/>
      </w:r>
      <w:r w:rsidRPr="00791508">
        <w:rPr>
          <w:sz w:val="20"/>
          <w:szCs w:val="20"/>
        </w:rPr>
        <w:t>Es ist beabsichtigt, den Auftrag an die Fa. Gans Omnibusverkehr, Entenhausen zu vergeben.</w:t>
      </w:r>
    </w:p>
    <w:p w:rsidR="00791508" w:rsidRPr="00891C5F" w:rsidRDefault="00791508" w:rsidP="00791508">
      <w:pPr>
        <w:rPr>
          <w:sz w:val="20"/>
          <w:szCs w:val="20"/>
        </w:rPr>
      </w:pPr>
      <w:r w:rsidRPr="00791508">
        <w:rPr>
          <w:sz w:val="20"/>
          <w:szCs w:val="20"/>
        </w:rPr>
        <w:t>VI.4)</w:t>
      </w:r>
      <w:r w:rsidRPr="00791508">
        <w:rPr>
          <w:sz w:val="20"/>
          <w:szCs w:val="20"/>
        </w:rPr>
        <w:tab/>
      </w:r>
      <w:bookmarkStart w:id="0" w:name="_GoBack"/>
      <w:r w:rsidRPr="00AB3A6E">
        <w:rPr>
          <w:b/>
          <w:sz w:val="20"/>
          <w:szCs w:val="20"/>
        </w:rPr>
        <w:t>Tag der Absendung dieser Bekanntmachung:</w:t>
      </w:r>
      <w:bookmarkEnd w:id="0"/>
    </w:p>
    <w:sectPr w:rsidR="00791508" w:rsidRPr="00891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2"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5D50EB"/>
    <w:rsid w:val="006E0163"/>
    <w:rsid w:val="00791508"/>
    <w:rsid w:val="00847CD9"/>
    <w:rsid w:val="00891C5F"/>
    <w:rsid w:val="00AB3A6E"/>
    <w:rsid w:val="00E8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65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 w:type="character" w:styleId="Hyperlink">
    <w:name w:val="Hyperlink"/>
    <w:basedOn w:val="Absatz-Standardschriftart"/>
    <w:uiPriority w:val="99"/>
    <w:unhideWhenUsed/>
    <w:rsid w:val="00791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zlei-zuck.de/anforderungen-und-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nzlei-zuc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zlei-zuck.de/anforderungen-und-standards" TargetMode="External"/><Relationship Id="rId11" Type="http://schemas.openxmlformats.org/officeDocument/2006/relationships/hyperlink" Target="https://rp.baden-wuerttemberg.de/rpk/abt1/ref15/" TargetMode="External"/><Relationship Id="rId5" Type="http://schemas.openxmlformats.org/officeDocument/2006/relationships/hyperlink" Target="http://www.entenhausen.de" TargetMode="External"/><Relationship Id="rId10" Type="http://schemas.openxmlformats.org/officeDocument/2006/relationships/hyperlink" Target="mailto:poststelle@rpk.bwl.de" TargetMode="External"/><Relationship Id="rId4" Type="http://schemas.openxmlformats.org/officeDocument/2006/relationships/webSettings" Target="webSettings.xml"/><Relationship Id="rId9" Type="http://schemas.openxmlformats.org/officeDocument/2006/relationships/hyperlink" Target="https://www.kanzlei-zuck.de/anforderungen-und-standar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2</cp:revision>
  <dcterms:created xsi:type="dcterms:W3CDTF">2022-05-11T09:28:00Z</dcterms:created>
  <dcterms:modified xsi:type="dcterms:W3CDTF">2022-05-11T09:28:00Z</dcterms:modified>
</cp:coreProperties>
</file>