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0453" w14:textId="77777777" w:rsidR="00481D06" w:rsidRDefault="00481D06" w:rsidP="00481D06">
      <w:pPr>
        <w:pStyle w:val="Listenabsatz"/>
        <w:ind w:left="0"/>
        <w:rPr>
          <w:rFonts w:cstheme="minorHAnsi"/>
          <w:szCs w:val="24"/>
        </w:rPr>
      </w:pPr>
    </w:p>
    <w:p w14:paraId="4670F15A" w14:textId="38F92F1D" w:rsidR="00327C7B" w:rsidRPr="00327C7B" w:rsidRDefault="00327C7B" w:rsidP="00481D06">
      <w:pPr>
        <w:jc w:val="center"/>
        <w:rPr>
          <w:rFonts w:cstheme="minorHAnsi"/>
          <w:b/>
          <w:sz w:val="26"/>
          <w:szCs w:val="26"/>
        </w:rPr>
      </w:pPr>
      <w:r>
        <w:rPr>
          <w:rFonts w:cstheme="minorHAnsi"/>
          <w:b/>
          <w:sz w:val="26"/>
          <w:szCs w:val="26"/>
        </w:rPr>
        <w:t>… Nachtrag</w:t>
      </w:r>
    </w:p>
    <w:p w14:paraId="5E3B977B" w14:textId="4797821E" w:rsidR="00327C7B" w:rsidRDefault="00327C7B" w:rsidP="00481D06">
      <w:pPr>
        <w:jc w:val="center"/>
        <w:rPr>
          <w:rFonts w:cstheme="minorHAnsi"/>
        </w:rPr>
      </w:pPr>
    </w:p>
    <w:p w14:paraId="1A679763" w14:textId="5F192DDD" w:rsidR="00327C7B" w:rsidRDefault="00327C7B" w:rsidP="00481D06">
      <w:pPr>
        <w:jc w:val="center"/>
        <w:rPr>
          <w:rFonts w:cstheme="minorHAnsi"/>
        </w:rPr>
      </w:pPr>
      <w:r>
        <w:rPr>
          <w:rFonts w:cstheme="minorHAnsi"/>
        </w:rPr>
        <w:t>zum</w:t>
      </w:r>
    </w:p>
    <w:p w14:paraId="71FE65E2" w14:textId="77777777" w:rsidR="00327C7B" w:rsidRPr="00327C7B" w:rsidRDefault="00327C7B" w:rsidP="00481D06">
      <w:pPr>
        <w:jc w:val="center"/>
        <w:rPr>
          <w:rFonts w:cstheme="minorHAnsi"/>
        </w:rPr>
      </w:pPr>
    </w:p>
    <w:p w14:paraId="59A59DEC" w14:textId="0DB3D14B" w:rsidR="00481D06" w:rsidRPr="00912152" w:rsidRDefault="00481D06" w:rsidP="00481D06">
      <w:pPr>
        <w:jc w:val="center"/>
        <w:rPr>
          <w:rFonts w:cstheme="minorHAnsi"/>
          <w:b/>
          <w:sz w:val="26"/>
          <w:szCs w:val="26"/>
        </w:rPr>
      </w:pPr>
      <w:r w:rsidRPr="00912152">
        <w:rPr>
          <w:rFonts w:cstheme="minorHAnsi"/>
          <w:b/>
          <w:sz w:val="26"/>
          <w:szCs w:val="26"/>
        </w:rPr>
        <w:t>Vertrag über die Betrauung</w:t>
      </w:r>
    </w:p>
    <w:p w14:paraId="41A8424C" w14:textId="77777777" w:rsidR="00481D06" w:rsidRPr="00912152" w:rsidRDefault="00481D06" w:rsidP="00481D06">
      <w:pPr>
        <w:jc w:val="center"/>
        <w:rPr>
          <w:rFonts w:cstheme="minorHAnsi"/>
          <w:b/>
          <w:sz w:val="26"/>
          <w:szCs w:val="26"/>
        </w:rPr>
      </w:pPr>
      <w:r w:rsidRPr="00912152">
        <w:rPr>
          <w:rFonts w:cstheme="minorHAnsi"/>
          <w:b/>
          <w:sz w:val="26"/>
          <w:szCs w:val="26"/>
        </w:rPr>
        <w:t>mit gemeinwirtschaftlichen Verpflichtungen</w:t>
      </w:r>
    </w:p>
    <w:p w14:paraId="6F043619" w14:textId="77777777" w:rsidR="00481D06" w:rsidRPr="00912152" w:rsidRDefault="00481D06" w:rsidP="00481D06">
      <w:pPr>
        <w:jc w:val="both"/>
        <w:rPr>
          <w:rFonts w:cstheme="minorHAnsi"/>
          <w:szCs w:val="24"/>
        </w:rPr>
      </w:pPr>
    </w:p>
    <w:p w14:paraId="0F9C4AC8" w14:textId="77777777" w:rsidR="00481D06" w:rsidRPr="00912152" w:rsidRDefault="00481D06" w:rsidP="00481D06">
      <w:pPr>
        <w:jc w:val="center"/>
        <w:rPr>
          <w:rFonts w:cstheme="minorHAnsi"/>
          <w:szCs w:val="24"/>
        </w:rPr>
      </w:pPr>
      <w:r w:rsidRPr="00912152">
        <w:rPr>
          <w:rFonts w:cstheme="minorHAnsi"/>
          <w:szCs w:val="24"/>
        </w:rPr>
        <w:t>zwischen</w:t>
      </w:r>
    </w:p>
    <w:p w14:paraId="79ED8B22" w14:textId="77777777" w:rsidR="00481D06" w:rsidRPr="00912152" w:rsidRDefault="00481D06" w:rsidP="00481D06">
      <w:pPr>
        <w:jc w:val="both"/>
        <w:rPr>
          <w:rFonts w:cstheme="minorHAnsi"/>
          <w:szCs w:val="24"/>
        </w:rPr>
      </w:pPr>
    </w:p>
    <w:p w14:paraId="28FF8533" w14:textId="77777777" w:rsidR="00481D06" w:rsidRPr="00912152" w:rsidRDefault="00481D06" w:rsidP="00481D06">
      <w:pPr>
        <w:jc w:val="both"/>
        <w:rPr>
          <w:rFonts w:cstheme="minorHAnsi"/>
          <w:szCs w:val="24"/>
        </w:rPr>
      </w:pPr>
      <w:r w:rsidRPr="00912152">
        <w:rPr>
          <w:rFonts w:cstheme="minorHAnsi"/>
          <w:szCs w:val="24"/>
        </w:rPr>
        <w:t>der zuständigen Behörde</w:t>
      </w:r>
    </w:p>
    <w:p w14:paraId="6DA5B417" w14:textId="77777777" w:rsidR="00481D06" w:rsidRPr="00912152" w:rsidRDefault="00481D06" w:rsidP="00481D06">
      <w:pPr>
        <w:jc w:val="both"/>
        <w:rPr>
          <w:rFonts w:cstheme="minorHAnsi"/>
          <w:szCs w:val="24"/>
        </w:rPr>
      </w:pPr>
      <w:r w:rsidRPr="00912152">
        <w:rPr>
          <w:rFonts w:cstheme="minorHAnsi"/>
          <w:szCs w:val="24"/>
        </w:rPr>
        <w:t>.....................................................................................................................................................</w:t>
      </w:r>
    </w:p>
    <w:p w14:paraId="08FAC9E6" w14:textId="77777777" w:rsidR="00481D06" w:rsidRPr="00912152" w:rsidRDefault="00481D06" w:rsidP="00481D06">
      <w:pPr>
        <w:jc w:val="both"/>
        <w:rPr>
          <w:rFonts w:cstheme="minorHAnsi"/>
          <w:szCs w:val="24"/>
        </w:rPr>
      </w:pPr>
      <w:r w:rsidRPr="00912152">
        <w:rPr>
          <w:rFonts w:cstheme="minorHAnsi"/>
          <w:szCs w:val="24"/>
        </w:rPr>
        <w:t>vertreten durch</w:t>
      </w:r>
    </w:p>
    <w:p w14:paraId="182033A1" w14:textId="77777777" w:rsidR="00481D06" w:rsidRPr="00912152" w:rsidRDefault="00481D06" w:rsidP="00481D06">
      <w:pPr>
        <w:jc w:val="both"/>
        <w:rPr>
          <w:rFonts w:cstheme="minorHAnsi"/>
          <w:szCs w:val="24"/>
        </w:rPr>
      </w:pPr>
      <w:r w:rsidRPr="00912152">
        <w:rPr>
          <w:rFonts w:cstheme="minorHAnsi"/>
          <w:szCs w:val="24"/>
        </w:rPr>
        <w:t>.....................................................................................................................</w:t>
      </w:r>
      <w:r>
        <w:rPr>
          <w:rFonts w:cstheme="minorHAnsi"/>
          <w:szCs w:val="24"/>
        </w:rPr>
        <w:t>..................</w:t>
      </w:r>
      <w:r w:rsidRPr="00912152">
        <w:rPr>
          <w:rFonts w:cstheme="minorHAnsi"/>
          <w:szCs w:val="24"/>
        </w:rPr>
        <w:t>..............</w:t>
      </w:r>
    </w:p>
    <w:p w14:paraId="26696E5F" w14:textId="77777777" w:rsidR="00481D06" w:rsidRPr="00912152" w:rsidRDefault="00481D06" w:rsidP="00481D06">
      <w:pPr>
        <w:jc w:val="both"/>
        <w:rPr>
          <w:rFonts w:cstheme="minorHAnsi"/>
          <w:szCs w:val="24"/>
        </w:rPr>
      </w:pPr>
    </w:p>
    <w:p w14:paraId="35BC05E8" w14:textId="77777777" w:rsidR="00481D06" w:rsidRPr="00912152" w:rsidRDefault="00481D06" w:rsidP="00481D06">
      <w:pPr>
        <w:jc w:val="center"/>
        <w:rPr>
          <w:rFonts w:cstheme="minorHAnsi"/>
          <w:szCs w:val="24"/>
        </w:rPr>
      </w:pPr>
      <w:r w:rsidRPr="00912152">
        <w:rPr>
          <w:rFonts w:cstheme="minorHAnsi"/>
          <w:szCs w:val="24"/>
        </w:rPr>
        <w:t>und</w:t>
      </w:r>
    </w:p>
    <w:p w14:paraId="093B757E" w14:textId="77777777" w:rsidR="00481D06" w:rsidRPr="00912152" w:rsidRDefault="00481D06" w:rsidP="00481D06">
      <w:pPr>
        <w:jc w:val="both"/>
        <w:rPr>
          <w:rFonts w:cstheme="minorHAnsi"/>
          <w:szCs w:val="24"/>
        </w:rPr>
      </w:pPr>
    </w:p>
    <w:p w14:paraId="49171EF1" w14:textId="77777777" w:rsidR="00481D06" w:rsidRPr="00912152" w:rsidRDefault="00481D06" w:rsidP="00481D06">
      <w:pPr>
        <w:jc w:val="both"/>
        <w:rPr>
          <w:rFonts w:cstheme="minorHAnsi"/>
          <w:szCs w:val="24"/>
        </w:rPr>
      </w:pPr>
      <w:r w:rsidRPr="00912152">
        <w:rPr>
          <w:rFonts w:cstheme="minorHAnsi"/>
          <w:szCs w:val="24"/>
        </w:rPr>
        <w:t>dem Unternehmen</w:t>
      </w:r>
    </w:p>
    <w:p w14:paraId="170AD7EC" w14:textId="77777777" w:rsidR="00481D06" w:rsidRPr="00912152" w:rsidRDefault="00481D06" w:rsidP="00481D06">
      <w:pPr>
        <w:jc w:val="both"/>
        <w:rPr>
          <w:rFonts w:cstheme="minorHAnsi"/>
          <w:szCs w:val="24"/>
        </w:rPr>
      </w:pPr>
      <w:r w:rsidRPr="00912152">
        <w:rPr>
          <w:rFonts w:cstheme="minorHAnsi"/>
          <w:szCs w:val="24"/>
        </w:rPr>
        <w:t>.....................................................................................................................</w:t>
      </w:r>
      <w:r>
        <w:rPr>
          <w:rFonts w:cstheme="minorHAnsi"/>
          <w:szCs w:val="24"/>
        </w:rPr>
        <w:t>.............................</w:t>
      </w:r>
      <w:r w:rsidRPr="00912152">
        <w:rPr>
          <w:rFonts w:cstheme="minorHAnsi"/>
          <w:szCs w:val="24"/>
        </w:rPr>
        <w:t>...</w:t>
      </w:r>
    </w:p>
    <w:p w14:paraId="160A4072" w14:textId="64014EE0" w:rsidR="00481D06" w:rsidRDefault="00481D06" w:rsidP="00481D06">
      <w:pPr>
        <w:jc w:val="both"/>
        <w:rPr>
          <w:rFonts w:cstheme="minorHAnsi"/>
          <w:szCs w:val="24"/>
        </w:rPr>
      </w:pPr>
    </w:p>
    <w:p w14:paraId="213BCE2E" w14:textId="3DE7E575" w:rsidR="00327C7B" w:rsidRDefault="00327C7B" w:rsidP="00481D06">
      <w:pPr>
        <w:jc w:val="both"/>
        <w:rPr>
          <w:rFonts w:cstheme="minorHAnsi"/>
          <w:szCs w:val="24"/>
        </w:rPr>
      </w:pPr>
      <w:r>
        <w:rPr>
          <w:rFonts w:cstheme="minorHAnsi"/>
          <w:szCs w:val="24"/>
        </w:rPr>
        <w:t>vom …</w:t>
      </w:r>
    </w:p>
    <w:p w14:paraId="045A9931" w14:textId="41D74C23" w:rsidR="00327C7B" w:rsidRDefault="00327C7B" w:rsidP="00481D06">
      <w:pPr>
        <w:jc w:val="both"/>
        <w:rPr>
          <w:rFonts w:cstheme="minorHAnsi"/>
          <w:szCs w:val="24"/>
        </w:rPr>
      </w:pPr>
    </w:p>
    <w:p w14:paraId="7B90A052" w14:textId="7DDE5A3B" w:rsidR="00327C7B" w:rsidRPr="00327C7B" w:rsidRDefault="00327C7B" w:rsidP="00327C7B">
      <w:pPr>
        <w:jc w:val="center"/>
        <w:rPr>
          <w:rFonts w:cstheme="minorHAnsi"/>
          <w:b/>
          <w:szCs w:val="24"/>
        </w:rPr>
      </w:pPr>
      <w:r>
        <w:rPr>
          <w:rFonts w:cstheme="minorHAnsi"/>
          <w:b/>
          <w:szCs w:val="24"/>
        </w:rPr>
        <w:t>Präambel</w:t>
      </w:r>
    </w:p>
    <w:p w14:paraId="5D6D77E3" w14:textId="4B8BC12F" w:rsidR="00327C7B" w:rsidRDefault="00327C7B" w:rsidP="00481D06">
      <w:pPr>
        <w:jc w:val="both"/>
        <w:rPr>
          <w:rFonts w:cstheme="minorHAnsi"/>
          <w:szCs w:val="24"/>
        </w:rPr>
      </w:pPr>
      <w:r>
        <w:rPr>
          <w:rFonts w:cstheme="minorHAnsi"/>
          <w:szCs w:val="24"/>
        </w:rPr>
        <w:t>Am 01.01.2021 ist der Baden-Württemberg-Index ÖPNV Straße in Kraft getreten. Die Kostenentwicklung im ÖPNV in Baden-Württemberg fällt in der Regel höher aus als im Bundesdurchschnitt. Daher ist die Regelung zur Dynamisierung anzupassen.</w:t>
      </w:r>
    </w:p>
    <w:p w14:paraId="4B7F0330" w14:textId="091DDC2E" w:rsidR="00327C7B" w:rsidRDefault="00327C7B" w:rsidP="00481D06">
      <w:pPr>
        <w:jc w:val="both"/>
        <w:rPr>
          <w:rFonts w:cstheme="minorHAnsi"/>
          <w:szCs w:val="24"/>
        </w:rPr>
      </w:pPr>
      <w:r>
        <w:rPr>
          <w:rFonts w:cstheme="minorHAnsi"/>
          <w:szCs w:val="24"/>
        </w:rPr>
        <w:t>Die Verhandlungen zwischen ver.di und dem Verband Baden-Württembergischer Omnibus</w:t>
      </w:r>
      <w:r w:rsidR="00E56C87">
        <w:rPr>
          <w:rFonts w:cstheme="minorHAnsi"/>
          <w:szCs w:val="24"/>
        </w:rPr>
        <w:t>unternehmer e.V. über den Lohn- und Manteltarifvertrag führten ab dem 01.01.2022 nicht nur zu einer linearen Anpassung der Löhne. Im Manteltarifvertrag wurden außerdem die Regelungen zur Bezahlung von Pausen des Fahrpersonals geändert. Der Anteil durchzubezahlender Pausen steigt von Unternehmen zu Unternehmen unterschiedlich hoch an. Die dadurch bewirkten Steigerungen beim Personalaufwand lassen sich daher nicht auf eine prozentuale Tarifanpassung umrechnen, sondern müssen für jede/s Linie/Linienbündel gesondert berechnet und zusätzlich vergütet werden. Daher ist die Vergütungsregelung im Wege einer Vertragsanpassung gemäß § 313 Abs. 1 BGB anzupassen.</w:t>
      </w:r>
    </w:p>
    <w:p w14:paraId="5FD67870" w14:textId="77777777" w:rsidR="00327C7B" w:rsidRPr="00912152" w:rsidRDefault="00327C7B" w:rsidP="00481D06">
      <w:pPr>
        <w:jc w:val="both"/>
        <w:rPr>
          <w:rFonts w:cstheme="minorHAnsi"/>
          <w:szCs w:val="24"/>
        </w:rPr>
      </w:pPr>
    </w:p>
    <w:p w14:paraId="7F02CFBF" w14:textId="77777777" w:rsidR="00481D06" w:rsidRPr="00912152" w:rsidRDefault="00481D06" w:rsidP="00481D06">
      <w:pPr>
        <w:spacing w:before="240"/>
        <w:jc w:val="center"/>
        <w:rPr>
          <w:rFonts w:cstheme="minorHAnsi"/>
          <w:b/>
          <w:szCs w:val="24"/>
        </w:rPr>
      </w:pPr>
      <w:r w:rsidRPr="00912152">
        <w:rPr>
          <w:rFonts w:cstheme="minorHAnsi"/>
          <w:b/>
          <w:szCs w:val="24"/>
        </w:rPr>
        <w:t>§ 1</w:t>
      </w:r>
    </w:p>
    <w:p w14:paraId="29E8DF67" w14:textId="2356B1C4" w:rsidR="00481D06" w:rsidRDefault="00481D06" w:rsidP="00481D06">
      <w:pPr>
        <w:spacing w:before="120"/>
        <w:jc w:val="both"/>
        <w:rPr>
          <w:rFonts w:cstheme="minorHAnsi"/>
          <w:szCs w:val="24"/>
        </w:rPr>
      </w:pPr>
      <w:r w:rsidRPr="00912152">
        <w:rPr>
          <w:rFonts w:cstheme="minorHAnsi"/>
          <w:szCs w:val="24"/>
        </w:rPr>
        <w:t xml:space="preserve">   </w:t>
      </w:r>
      <w:r w:rsidR="00E56C87">
        <w:rPr>
          <w:rFonts w:cstheme="minorHAnsi"/>
          <w:szCs w:val="24"/>
        </w:rPr>
        <w:t xml:space="preserve">Die </w:t>
      </w:r>
      <w:r w:rsidR="00E56C87" w:rsidRPr="00826059">
        <w:rPr>
          <w:rFonts w:cstheme="minorHAnsi"/>
          <w:szCs w:val="24"/>
          <w:u w:val="single"/>
        </w:rPr>
        <w:t>Anlage 3</w:t>
      </w:r>
      <w:r w:rsidR="00E56C87">
        <w:rPr>
          <w:rFonts w:cstheme="minorHAnsi"/>
          <w:szCs w:val="24"/>
        </w:rPr>
        <w:t xml:space="preserve"> (Gewichtete Kostenelementeklausel) erhält die aus der Anlage zu diesem Nachtrag ersichtliche Fassung</w:t>
      </w:r>
      <w:r w:rsidRPr="00912152">
        <w:rPr>
          <w:rFonts w:cstheme="minorHAnsi"/>
          <w:szCs w:val="24"/>
        </w:rPr>
        <w:t>.</w:t>
      </w:r>
    </w:p>
    <w:p w14:paraId="4FEE68BF" w14:textId="77777777" w:rsidR="00826059" w:rsidRPr="00912152" w:rsidRDefault="00826059" w:rsidP="00481D06">
      <w:pPr>
        <w:spacing w:before="120"/>
        <w:jc w:val="both"/>
        <w:rPr>
          <w:rFonts w:cstheme="minorHAnsi"/>
          <w:szCs w:val="24"/>
        </w:rPr>
      </w:pPr>
    </w:p>
    <w:p w14:paraId="65CF468F" w14:textId="77777777" w:rsidR="00481D06" w:rsidRPr="00912152" w:rsidRDefault="00481D06" w:rsidP="00481D06">
      <w:pPr>
        <w:spacing w:before="240"/>
        <w:jc w:val="center"/>
        <w:rPr>
          <w:rFonts w:cstheme="minorHAnsi"/>
          <w:b/>
          <w:szCs w:val="24"/>
        </w:rPr>
      </w:pPr>
      <w:r w:rsidRPr="00912152">
        <w:rPr>
          <w:rFonts w:cstheme="minorHAnsi"/>
          <w:b/>
          <w:szCs w:val="24"/>
        </w:rPr>
        <w:t>§ 2</w:t>
      </w:r>
    </w:p>
    <w:p w14:paraId="07C02E8A" w14:textId="4FF749A1" w:rsidR="00481D06" w:rsidRDefault="00481D06" w:rsidP="00826059">
      <w:pPr>
        <w:spacing w:before="120"/>
        <w:jc w:val="both"/>
        <w:rPr>
          <w:rFonts w:cstheme="minorHAnsi"/>
          <w:szCs w:val="24"/>
        </w:rPr>
      </w:pPr>
      <w:r w:rsidRPr="00912152">
        <w:rPr>
          <w:rFonts w:cstheme="minorHAnsi"/>
          <w:szCs w:val="24"/>
        </w:rPr>
        <w:t xml:space="preserve">   </w:t>
      </w:r>
      <w:r w:rsidR="00826059">
        <w:rPr>
          <w:rFonts w:cstheme="minorHAnsi"/>
          <w:szCs w:val="24"/>
        </w:rPr>
        <w:t xml:space="preserve">Die Ausgleichsleistung gemäß § 2 Abs. 1 erhöht sich in Ansehung der von dem Unternehmen nachgewiesenen seit dem 01.01.2022 zusätzlich durchzubezahlenden Pausenzeiten der Fahrer um </w:t>
      </w:r>
      <w:r w:rsidR="00420909">
        <w:rPr>
          <w:rFonts w:cstheme="minorHAnsi"/>
          <w:szCs w:val="24"/>
        </w:rPr>
        <w:br/>
        <w:t>…</w:t>
      </w:r>
      <w:r w:rsidR="00826059">
        <w:rPr>
          <w:rFonts w:cstheme="minorHAnsi"/>
          <w:szCs w:val="24"/>
        </w:rPr>
        <w:t>…</w:t>
      </w:r>
      <w:r w:rsidR="00420909">
        <w:rPr>
          <w:rFonts w:cstheme="minorHAnsi"/>
          <w:szCs w:val="24"/>
        </w:rPr>
        <w:t>…</w:t>
      </w:r>
      <w:r w:rsidR="00826059">
        <w:rPr>
          <w:rFonts w:cstheme="minorHAnsi"/>
          <w:szCs w:val="24"/>
        </w:rPr>
        <w:t xml:space="preserve"> € je </w:t>
      </w:r>
      <w:r w:rsidR="00420909">
        <w:rPr>
          <w:rFonts w:cstheme="minorHAnsi"/>
          <w:szCs w:val="24"/>
        </w:rPr>
        <w:t>…</w:t>
      </w:r>
      <w:r w:rsidR="00420909">
        <w:rPr>
          <w:rFonts w:cstheme="minorHAnsi"/>
          <w:szCs w:val="24"/>
        </w:rPr>
        <w:t>……………</w:t>
      </w:r>
      <w:bookmarkStart w:id="0" w:name="_GoBack"/>
      <w:bookmarkEnd w:id="0"/>
      <w:r w:rsidR="00420909">
        <w:rPr>
          <w:rFonts w:cstheme="minorHAnsi"/>
          <w:szCs w:val="24"/>
        </w:rPr>
        <w:t>…</w:t>
      </w:r>
    </w:p>
    <w:p w14:paraId="7CBB2F42" w14:textId="77777777" w:rsidR="00826059" w:rsidRPr="00912152" w:rsidRDefault="00826059" w:rsidP="00826059">
      <w:pPr>
        <w:spacing w:before="120"/>
        <w:jc w:val="both"/>
        <w:rPr>
          <w:rFonts w:cstheme="minorHAnsi"/>
          <w:szCs w:val="24"/>
        </w:rPr>
      </w:pPr>
    </w:p>
    <w:p w14:paraId="7F3A2A94" w14:textId="0999C0EE" w:rsidR="00481D06" w:rsidRPr="00912152" w:rsidRDefault="00481D06" w:rsidP="00481D06">
      <w:pPr>
        <w:spacing w:before="240"/>
        <w:jc w:val="center"/>
        <w:rPr>
          <w:rFonts w:cstheme="minorHAnsi"/>
          <w:b/>
          <w:szCs w:val="24"/>
        </w:rPr>
      </w:pPr>
      <w:r w:rsidRPr="00912152">
        <w:rPr>
          <w:rFonts w:cstheme="minorHAnsi"/>
          <w:b/>
          <w:szCs w:val="24"/>
        </w:rPr>
        <w:t xml:space="preserve">§ </w:t>
      </w:r>
      <w:r w:rsidR="00826059">
        <w:rPr>
          <w:rFonts w:cstheme="minorHAnsi"/>
          <w:b/>
          <w:szCs w:val="24"/>
        </w:rPr>
        <w:t>3</w:t>
      </w:r>
    </w:p>
    <w:p w14:paraId="75806926" w14:textId="3410F289" w:rsidR="00481D06" w:rsidRDefault="00481D06" w:rsidP="00481D06">
      <w:pPr>
        <w:spacing w:before="120"/>
        <w:jc w:val="both"/>
        <w:rPr>
          <w:rFonts w:cstheme="minorHAnsi"/>
          <w:szCs w:val="24"/>
        </w:rPr>
      </w:pPr>
      <w:r w:rsidRPr="00912152">
        <w:rPr>
          <w:rFonts w:cstheme="minorHAnsi"/>
          <w:szCs w:val="24"/>
        </w:rPr>
        <w:t xml:space="preserve">   Sollten einzelne Bestimmungen dieses </w:t>
      </w:r>
      <w:r w:rsidR="00826059">
        <w:rPr>
          <w:rFonts w:cstheme="minorHAnsi"/>
          <w:szCs w:val="24"/>
        </w:rPr>
        <w:t>Nach</w:t>
      </w:r>
      <w:r w:rsidRPr="00912152">
        <w:rPr>
          <w:rFonts w:cstheme="minorHAnsi"/>
          <w:szCs w:val="24"/>
        </w:rPr>
        <w:t xml:space="preserve">trages unwirksam oder undurchführbar sein oder nach Vertragsschluss unwirksam oder undurchführbar werden, bleibt davon die Wirksamkeit des </w:t>
      </w:r>
      <w:r w:rsidR="00826059">
        <w:rPr>
          <w:rFonts w:cstheme="minorHAnsi"/>
          <w:szCs w:val="24"/>
        </w:rPr>
        <w:t>Nach</w:t>
      </w:r>
      <w:r w:rsidRPr="00912152">
        <w:rPr>
          <w:rFonts w:cstheme="minorHAnsi"/>
          <w:szCs w:val="24"/>
        </w:rPr>
        <w:t xml:space="preserve">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w:t>
      </w:r>
      <w:r w:rsidR="00826059">
        <w:rPr>
          <w:rFonts w:cstheme="minorHAnsi"/>
          <w:szCs w:val="24"/>
        </w:rPr>
        <w:t>Nach</w:t>
      </w:r>
      <w:r w:rsidRPr="00912152">
        <w:rPr>
          <w:rFonts w:cstheme="minorHAnsi"/>
          <w:szCs w:val="24"/>
        </w:rPr>
        <w:t>trag als lückenhaft erweist.</w:t>
      </w:r>
    </w:p>
    <w:p w14:paraId="0935397B" w14:textId="77777777" w:rsidR="00826059" w:rsidRPr="00912152" w:rsidRDefault="00826059" w:rsidP="00481D06">
      <w:pPr>
        <w:spacing w:before="120"/>
        <w:jc w:val="both"/>
        <w:rPr>
          <w:rFonts w:cstheme="minorHAnsi"/>
          <w:szCs w:val="24"/>
        </w:rPr>
      </w:pPr>
    </w:p>
    <w:p w14:paraId="5A4EBA88" w14:textId="77777777" w:rsidR="00481D06" w:rsidRPr="00912152" w:rsidRDefault="00481D06" w:rsidP="00481D06">
      <w:pPr>
        <w:keepNext/>
        <w:spacing w:before="240"/>
        <w:jc w:val="center"/>
        <w:rPr>
          <w:rFonts w:cstheme="minorHAnsi"/>
          <w:b/>
          <w:szCs w:val="24"/>
        </w:rPr>
      </w:pPr>
      <w:r w:rsidRPr="00912152">
        <w:rPr>
          <w:rFonts w:cstheme="minorHAnsi"/>
          <w:b/>
          <w:szCs w:val="24"/>
        </w:rPr>
        <w:t>§ 6</w:t>
      </w:r>
    </w:p>
    <w:p w14:paraId="1956EA9F" w14:textId="102CD792" w:rsidR="00481D06" w:rsidRPr="00912152" w:rsidRDefault="00481D06" w:rsidP="00481D06">
      <w:pPr>
        <w:spacing w:before="120"/>
        <w:jc w:val="both"/>
        <w:rPr>
          <w:rFonts w:cstheme="minorHAnsi"/>
          <w:szCs w:val="24"/>
        </w:rPr>
      </w:pPr>
      <w:r>
        <w:rPr>
          <w:rFonts w:cstheme="minorHAnsi"/>
          <w:szCs w:val="24"/>
        </w:rPr>
        <w:t xml:space="preserve">   </w:t>
      </w:r>
      <w:r w:rsidRPr="00912152">
        <w:rPr>
          <w:rFonts w:cstheme="minorHAnsi"/>
          <w:szCs w:val="24"/>
        </w:rPr>
        <w:t xml:space="preserve">Dieser </w:t>
      </w:r>
      <w:r w:rsidR="00826059">
        <w:rPr>
          <w:rFonts w:cstheme="minorHAnsi"/>
          <w:szCs w:val="24"/>
        </w:rPr>
        <w:t>Nach</w:t>
      </w:r>
      <w:r w:rsidRPr="00912152">
        <w:rPr>
          <w:rFonts w:cstheme="minorHAnsi"/>
          <w:szCs w:val="24"/>
        </w:rPr>
        <w:t>trag tritt</w:t>
      </w:r>
      <w:r w:rsidR="00826059">
        <w:rPr>
          <w:rFonts w:cstheme="minorHAnsi"/>
          <w:szCs w:val="24"/>
        </w:rPr>
        <w:t xml:space="preserve"> rückwirkend zum 01.01.2022 in Kraft</w:t>
      </w:r>
      <w:r w:rsidRPr="00912152">
        <w:rPr>
          <w:rFonts w:cstheme="minorHAnsi"/>
          <w:szCs w:val="24"/>
        </w:rPr>
        <w:t>.</w:t>
      </w:r>
    </w:p>
    <w:p w14:paraId="09565B7B" w14:textId="77777777" w:rsidR="00481D06" w:rsidRPr="00912152" w:rsidRDefault="00481D06" w:rsidP="00481D06">
      <w:pPr>
        <w:jc w:val="both"/>
        <w:rPr>
          <w:rFonts w:cstheme="minorHAnsi"/>
          <w:szCs w:val="24"/>
        </w:rPr>
      </w:pPr>
    </w:p>
    <w:p w14:paraId="51004550" w14:textId="77777777" w:rsidR="00481D06" w:rsidRPr="00912152" w:rsidRDefault="00481D06" w:rsidP="00481D06">
      <w:pPr>
        <w:jc w:val="both"/>
        <w:rPr>
          <w:rFonts w:cstheme="minorHAnsi"/>
          <w:szCs w:val="24"/>
        </w:rPr>
      </w:pPr>
    </w:p>
    <w:p w14:paraId="127000C8" w14:textId="77777777" w:rsidR="00481D06" w:rsidRPr="00912152" w:rsidRDefault="00481D06" w:rsidP="00481D06">
      <w:pPr>
        <w:jc w:val="both"/>
        <w:rPr>
          <w:rFonts w:cstheme="minorHAnsi"/>
          <w:szCs w:val="24"/>
        </w:rPr>
      </w:pPr>
      <w:r w:rsidRPr="00912152">
        <w:rPr>
          <w:rFonts w:cstheme="minorHAnsi"/>
          <w:szCs w:val="24"/>
        </w:rPr>
        <w:t>Ort, Datum .............................................................</w:t>
      </w:r>
    </w:p>
    <w:p w14:paraId="6DDAAFA7" w14:textId="77777777" w:rsidR="00481D06" w:rsidRPr="00912152" w:rsidRDefault="00481D06" w:rsidP="00481D06">
      <w:pPr>
        <w:jc w:val="both"/>
        <w:rPr>
          <w:rFonts w:cstheme="minorHAnsi"/>
          <w:szCs w:val="24"/>
        </w:rPr>
      </w:pPr>
    </w:p>
    <w:p w14:paraId="79917FF1" w14:textId="77777777" w:rsidR="00481D06" w:rsidRPr="00912152" w:rsidRDefault="00481D06" w:rsidP="00481D06">
      <w:pPr>
        <w:jc w:val="both"/>
        <w:rPr>
          <w:rFonts w:cstheme="minorHAnsi"/>
          <w:szCs w:val="24"/>
        </w:rPr>
      </w:pPr>
    </w:p>
    <w:p w14:paraId="5DE63E81" w14:textId="77777777" w:rsidR="00481D06" w:rsidRPr="00912152" w:rsidRDefault="00481D06" w:rsidP="00481D06">
      <w:pPr>
        <w:jc w:val="both"/>
        <w:rPr>
          <w:rFonts w:cstheme="minorHAnsi"/>
          <w:szCs w:val="24"/>
        </w:rPr>
      </w:pPr>
    </w:p>
    <w:p w14:paraId="64F8C1BD" w14:textId="77777777" w:rsidR="00481D06" w:rsidRPr="00912152" w:rsidRDefault="00481D06" w:rsidP="00481D06">
      <w:pPr>
        <w:jc w:val="both"/>
        <w:rPr>
          <w:rFonts w:cstheme="minorHAnsi"/>
          <w:szCs w:val="24"/>
        </w:rPr>
      </w:pPr>
    </w:p>
    <w:p w14:paraId="362D5890" w14:textId="77777777" w:rsidR="00481D06" w:rsidRPr="00912152" w:rsidRDefault="00481D06" w:rsidP="00481D06">
      <w:pPr>
        <w:jc w:val="both"/>
        <w:rPr>
          <w:rFonts w:cstheme="minorHAnsi"/>
          <w:szCs w:val="24"/>
        </w:rPr>
      </w:pPr>
      <w:r w:rsidRPr="00912152">
        <w:rPr>
          <w:rFonts w:cstheme="minorHAnsi"/>
          <w:szCs w:val="24"/>
        </w:rPr>
        <w:t>.............................................................</w:t>
      </w:r>
      <w:r w:rsidRPr="00912152">
        <w:rPr>
          <w:rFonts w:cstheme="minorHAnsi"/>
          <w:szCs w:val="24"/>
        </w:rPr>
        <w:tab/>
      </w:r>
      <w:r w:rsidRPr="00912152">
        <w:rPr>
          <w:rFonts w:cstheme="minorHAnsi"/>
          <w:szCs w:val="24"/>
        </w:rPr>
        <w:tab/>
        <w:t>.............................................................</w:t>
      </w:r>
    </w:p>
    <w:p w14:paraId="04AB4B2E" w14:textId="59EAD0A4" w:rsidR="00481D06" w:rsidRPr="00912152" w:rsidRDefault="00481D06" w:rsidP="00481D06">
      <w:pPr>
        <w:jc w:val="both"/>
        <w:rPr>
          <w:rFonts w:cstheme="minorHAnsi"/>
          <w:szCs w:val="24"/>
        </w:rPr>
      </w:pPr>
      <w:r w:rsidRPr="00912152">
        <w:rPr>
          <w:rFonts w:cstheme="minorHAnsi"/>
          <w:szCs w:val="24"/>
        </w:rPr>
        <w:tab/>
      </w:r>
      <w:r>
        <w:rPr>
          <w:rFonts w:cstheme="minorHAnsi"/>
          <w:szCs w:val="24"/>
        </w:rPr>
        <w:t xml:space="preserve">   </w:t>
      </w:r>
      <w:r w:rsidRPr="00912152">
        <w:rPr>
          <w:rFonts w:cstheme="minorHAnsi"/>
          <w:szCs w:val="24"/>
        </w:rPr>
        <w:t>zuständige Behörde</w:t>
      </w:r>
      <w:r w:rsidRPr="00912152">
        <w:rPr>
          <w:rFonts w:cstheme="minorHAnsi"/>
          <w:szCs w:val="24"/>
        </w:rPr>
        <w:tab/>
      </w:r>
      <w:r w:rsidRPr="00912152">
        <w:rPr>
          <w:rFonts w:cstheme="minorHAnsi"/>
          <w:szCs w:val="24"/>
        </w:rPr>
        <w:tab/>
      </w:r>
      <w:r w:rsidRPr="00912152">
        <w:rPr>
          <w:rFonts w:cstheme="minorHAnsi"/>
          <w:szCs w:val="24"/>
        </w:rPr>
        <w:tab/>
      </w:r>
      <w:r w:rsidRPr="00912152">
        <w:rPr>
          <w:rFonts w:cstheme="minorHAnsi"/>
          <w:szCs w:val="24"/>
        </w:rPr>
        <w:tab/>
      </w:r>
      <w:r>
        <w:rPr>
          <w:rFonts w:cstheme="minorHAnsi"/>
          <w:szCs w:val="24"/>
        </w:rPr>
        <w:t xml:space="preserve">       </w:t>
      </w:r>
      <w:r w:rsidRPr="00912152">
        <w:rPr>
          <w:rFonts w:cstheme="minorHAnsi"/>
          <w:szCs w:val="24"/>
        </w:rPr>
        <w:t>Unternehmen</w:t>
      </w:r>
    </w:p>
    <w:p w14:paraId="3A6FE666" w14:textId="77777777" w:rsidR="00481D06" w:rsidRPr="00912152" w:rsidRDefault="00481D06" w:rsidP="00481D06">
      <w:pPr>
        <w:jc w:val="both"/>
        <w:rPr>
          <w:rFonts w:cstheme="minorHAnsi"/>
          <w:szCs w:val="24"/>
        </w:rPr>
      </w:pPr>
    </w:p>
    <w:p w14:paraId="71E6A3DA" w14:textId="77777777" w:rsidR="00481D06" w:rsidRPr="00912152" w:rsidRDefault="00481D06" w:rsidP="00481D06">
      <w:pPr>
        <w:jc w:val="both"/>
        <w:rPr>
          <w:rFonts w:cstheme="minorHAnsi"/>
          <w:szCs w:val="24"/>
        </w:rPr>
      </w:pPr>
    </w:p>
    <w:p w14:paraId="3828E95E" w14:textId="77777777" w:rsidR="00481D06" w:rsidRDefault="00481D06" w:rsidP="00481D06">
      <w:pPr>
        <w:spacing w:after="200" w:line="276" w:lineRule="auto"/>
        <w:rPr>
          <w:rFonts w:cstheme="minorHAnsi"/>
          <w:szCs w:val="24"/>
        </w:rPr>
      </w:pPr>
      <w:r>
        <w:rPr>
          <w:rFonts w:cstheme="minorHAnsi"/>
          <w:szCs w:val="24"/>
        </w:rPr>
        <w:br w:type="page"/>
      </w:r>
    </w:p>
    <w:p w14:paraId="2016A389" w14:textId="01F5415A" w:rsidR="00481D06" w:rsidRDefault="00481D06" w:rsidP="00481D06">
      <w:pPr>
        <w:spacing w:after="200" w:line="276" w:lineRule="auto"/>
        <w:rPr>
          <w:rFonts w:cstheme="minorHAnsi"/>
          <w:b/>
          <w:szCs w:val="24"/>
        </w:rPr>
      </w:pPr>
    </w:p>
    <w:p w14:paraId="1F8C6F8D" w14:textId="77777777" w:rsidR="00481D06" w:rsidRPr="003305F7" w:rsidRDefault="00481D06" w:rsidP="00481D06">
      <w:pPr>
        <w:jc w:val="right"/>
        <w:rPr>
          <w:rFonts w:cstheme="minorHAnsi"/>
          <w:b/>
          <w:szCs w:val="24"/>
        </w:rPr>
      </w:pPr>
      <w:r w:rsidRPr="003305F7">
        <w:rPr>
          <w:rFonts w:cstheme="minorHAnsi"/>
          <w:b/>
          <w:szCs w:val="24"/>
        </w:rPr>
        <w:t>Anlage 3</w:t>
      </w:r>
    </w:p>
    <w:p w14:paraId="69A03136" w14:textId="77777777" w:rsidR="00481D06" w:rsidRPr="00912152" w:rsidRDefault="00481D06" w:rsidP="00481D06">
      <w:pPr>
        <w:jc w:val="both"/>
        <w:rPr>
          <w:rFonts w:cstheme="minorHAnsi"/>
          <w:szCs w:val="24"/>
        </w:rPr>
      </w:pPr>
    </w:p>
    <w:p w14:paraId="418CDF46" w14:textId="77777777" w:rsidR="00481D06" w:rsidRPr="003305F7" w:rsidRDefault="00481D06" w:rsidP="00481D06">
      <w:pPr>
        <w:jc w:val="both"/>
        <w:rPr>
          <w:rFonts w:cstheme="minorHAnsi"/>
          <w:b/>
          <w:szCs w:val="24"/>
        </w:rPr>
      </w:pPr>
      <w:r w:rsidRPr="003305F7">
        <w:rPr>
          <w:rFonts w:cstheme="minorHAnsi"/>
          <w:b/>
          <w:szCs w:val="24"/>
        </w:rPr>
        <w:t>Gewichtete Kostenelementeklausel</w:t>
      </w:r>
    </w:p>
    <w:p w14:paraId="545E6788" w14:textId="77777777" w:rsidR="00481D06" w:rsidRPr="00912152" w:rsidRDefault="00481D06" w:rsidP="00481D06">
      <w:pPr>
        <w:jc w:val="both"/>
        <w:rPr>
          <w:rFonts w:cstheme="minorHAnsi"/>
          <w:szCs w:val="24"/>
        </w:rPr>
      </w:pPr>
    </w:p>
    <w:tbl>
      <w:tblPr>
        <w:tblW w:w="9072" w:type="dxa"/>
        <w:tblInd w:w="43" w:type="dxa"/>
        <w:tblLayout w:type="fixed"/>
        <w:tblCellMar>
          <w:left w:w="43" w:type="dxa"/>
          <w:right w:w="43" w:type="dxa"/>
        </w:tblCellMar>
        <w:tblLook w:val="0000" w:firstRow="0" w:lastRow="0" w:firstColumn="0" w:lastColumn="0" w:noHBand="0" w:noVBand="0"/>
      </w:tblPr>
      <w:tblGrid>
        <w:gridCol w:w="3014"/>
        <w:gridCol w:w="603"/>
        <w:gridCol w:w="5455"/>
      </w:tblGrid>
      <w:tr w:rsidR="00481D06" w:rsidRPr="00980CAA" w14:paraId="7002AC57" w14:textId="77777777" w:rsidTr="00380FB1">
        <w:trPr>
          <w:cantSplit/>
        </w:trPr>
        <w:tc>
          <w:tcPr>
            <w:tcW w:w="3014" w:type="dxa"/>
            <w:tcBorders>
              <w:top w:val="single" w:sz="6" w:space="0" w:color="auto"/>
              <w:left w:val="single" w:sz="6" w:space="0" w:color="auto"/>
              <w:bottom w:val="single" w:sz="6" w:space="0" w:color="auto"/>
              <w:right w:val="single" w:sz="6" w:space="0" w:color="auto"/>
            </w:tcBorders>
          </w:tcPr>
          <w:p w14:paraId="44B6A3D9" w14:textId="691F8D76" w:rsidR="00481D06" w:rsidRPr="003305F7" w:rsidRDefault="007D6C50" w:rsidP="00380FB1">
            <w:pPr>
              <w:pStyle w:val="Text"/>
              <w:widowControl/>
              <w:jc w:val="left"/>
              <w:rPr>
                <w:rFonts w:asciiTheme="minorHAnsi" w:hAnsiTheme="minorHAnsi" w:cstheme="minorHAnsi"/>
                <w:b/>
                <w:sz w:val="20"/>
              </w:rPr>
            </w:pPr>
            <w:r>
              <w:rPr>
                <w:rFonts w:asciiTheme="minorHAnsi" w:hAnsiTheme="minorHAnsi" w:cstheme="minorHAnsi"/>
                <w:b/>
                <w:sz w:val="20"/>
              </w:rPr>
              <w:t>Fortschreibungsgruppe</w:t>
            </w:r>
          </w:p>
        </w:tc>
        <w:tc>
          <w:tcPr>
            <w:tcW w:w="603" w:type="dxa"/>
            <w:tcBorders>
              <w:top w:val="single" w:sz="6" w:space="0" w:color="auto"/>
              <w:left w:val="single" w:sz="6" w:space="0" w:color="auto"/>
              <w:bottom w:val="single" w:sz="6" w:space="0" w:color="auto"/>
              <w:right w:val="single" w:sz="6" w:space="0" w:color="auto"/>
            </w:tcBorders>
          </w:tcPr>
          <w:p w14:paraId="2DB894B3" w14:textId="77777777" w:rsidR="00481D06" w:rsidRPr="003305F7" w:rsidRDefault="00481D06" w:rsidP="00380FB1">
            <w:pPr>
              <w:pStyle w:val="Text"/>
              <w:widowControl/>
              <w:jc w:val="left"/>
              <w:rPr>
                <w:rFonts w:asciiTheme="minorHAnsi" w:hAnsiTheme="minorHAnsi" w:cstheme="minorHAnsi"/>
                <w:b/>
                <w:sz w:val="20"/>
              </w:rPr>
            </w:pPr>
            <w:r w:rsidRPr="003305F7">
              <w:rPr>
                <w:rFonts w:asciiTheme="minorHAnsi" w:hAnsiTheme="minorHAnsi" w:cstheme="minorHAnsi"/>
                <w:sz w:val="20"/>
              </w:rPr>
              <w:t xml:space="preserve"> </w:t>
            </w:r>
            <w:r w:rsidRPr="003305F7">
              <w:rPr>
                <w:rFonts w:asciiTheme="minorHAnsi" w:hAnsiTheme="minorHAnsi" w:cstheme="minorHAnsi"/>
                <w:b/>
                <w:sz w:val="20"/>
              </w:rPr>
              <w:t>in %</w:t>
            </w:r>
          </w:p>
        </w:tc>
        <w:tc>
          <w:tcPr>
            <w:tcW w:w="5455" w:type="dxa"/>
            <w:tcBorders>
              <w:top w:val="single" w:sz="6" w:space="0" w:color="auto"/>
              <w:left w:val="single" w:sz="6" w:space="0" w:color="auto"/>
              <w:bottom w:val="single" w:sz="6" w:space="0" w:color="auto"/>
              <w:right w:val="single" w:sz="6" w:space="0" w:color="auto"/>
            </w:tcBorders>
          </w:tcPr>
          <w:p w14:paraId="1D2D5AD7" w14:textId="77777777" w:rsidR="00481D06" w:rsidRPr="003305F7" w:rsidRDefault="00481D06" w:rsidP="00380FB1">
            <w:pPr>
              <w:pStyle w:val="Text"/>
              <w:widowControl/>
              <w:jc w:val="left"/>
              <w:rPr>
                <w:rFonts w:asciiTheme="minorHAnsi" w:hAnsiTheme="minorHAnsi" w:cstheme="minorHAnsi"/>
                <w:b/>
                <w:sz w:val="20"/>
              </w:rPr>
            </w:pPr>
            <w:r w:rsidRPr="003305F7">
              <w:rPr>
                <w:rFonts w:asciiTheme="minorHAnsi" w:hAnsiTheme="minorHAnsi" w:cstheme="minorHAnsi"/>
                <w:b/>
                <w:sz w:val="20"/>
              </w:rPr>
              <w:t>Fortschreibungsgrundlage</w:t>
            </w:r>
          </w:p>
        </w:tc>
      </w:tr>
      <w:tr w:rsidR="007D6C50" w:rsidRPr="00980CAA" w14:paraId="25C510CB" w14:textId="77777777" w:rsidTr="00327C7B">
        <w:trPr>
          <w:cantSplit/>
        </w:trPr>
        <w:tc>
          <w:tcPr>
            <w:tcW w:w="3014" w:type="dxa"/>
            <w:tcBorders>
              <w:top w:val="single" w:sz="6" w:space="0" w:color="auto"/>
              <w:left w:val="single" w:sz="6" w:space="0" w:color="auto"/>
              <w:bottom w:val="single" w:sz="6" w:space="0" w:color="auto"/>
              <w:right w:val="single" w:sz="6" w:space="0" w:color="auto"/>
            </w:tcBorders>
          </w:tcPr>
          <w:p w14:paraId="18444265" w14:textId="77777777" w:rsidR="007D6C50" w:rsidRDefault="007D6C50" w:rsidP="00380FB1">
            <w:pPr>
              <w:pStyle w:val="Text"/>
              <w:widowControl/>
              <w:spacing w:line="240" w:lineRule="auto"/>
              <w:jc w:val="left"/>
              <w:rPr>
                <w:rFonts w:asciiTheme="minorHAnsi" w:hAnsiTheme="minorHAnsi" w:cstheme="minorHAnsi"/>
                <w:sz w:val="20"/>
              </w:rPr>
            </w:pPr>
            <w:r w:rsidRPr="003305F7">
              <w:rPr>
                <w:rFonts w:asciiTheme="minorHAnsi" w:hAnsiTheme="minorHAnsi" w:cstheme="minorHAnsi"/>
                <w:sz w:val="20"/>
              </w:rPr>
              <w:t>Personal</w:t>
            </w:r>
            <w:r>
              <w:rPr>
                <w:rFonts w:asciiTheme="minorHAnsi" w:hAnsiTheme="minorHAnsi" w:cstheme="minorHAnsi"/>
                <w:sz w:val="20"/>
              </w:rPr>
              <w:t>aufwand</w:t>
            </w:r>
          </w:p>
          <w:p w14:paraId="319A7553" w14:textId="4E867BB2" w:rsidR="00327C7B" w:rsidRPr="003305F7" w:rsidRDefault="00327C7B" w:rsidP="00380FB1">
            <w:pPr>
              <w:pStyle w:val="Text"/>
              <w:widowControl/>
              <w:spacing w:line="240" w:lineRule="auto"/>
              <w:jc w:val="left"/>
              <w:rPr>
                <w:rFonts w:asciiTheme="minorHAnsi" w:hAnsiTheme="minorHAnsi" w:cstheme="minorHAnsi"/>
                <w:sz w:val="20"/>
                <w:vertAlign w:val="superscript"/>
              </w:rPr>
            </w:pPr>
          </w:p>
        </w:tc>
        <w:tc>
          <w:tcPr>
            <w:tcW w:w="603" w:type="dxa"/>
            <w:tcBorders>
              <w:top w:val="single" w:sz="6" w:space="0" w:color="auto"/>
              <w:left w:val="single" w:sz="6" w:space="0" w:color="auto"/>
              <w:bottom w:val="single" w:sz="6" w:space="0" w:color="auto"/>
              <w:right w:val="single" w:sz="6" w:space="0" w:color="auto"/>
            </w:tcBorders>
          </w:tcPr>
          <w:p w14:paraId="0D93C467" w14:textId="77777777" w:rsidR="007D6C50" w:rsidRPr="003305F7" w:rsidRDefault="007D6C50" w:rsidP="00380FB1">
            <w:pPr>
              <w:pStyle w:val="Text"/>
              <w:widowControl/>
              <w:spacing w:line="240" w:lineRule="auto"/>
              <w:jc w:val="left"/>
              <w:rPr>
                <w:rFonts w:asciiTheme="minorHAnsi" w:hAnsiTheme="minorHAnsi" w:cstheme="minorHAnsi"/>
                <w:sz w:val="20"/>
              </w:rPr>
            </w:pPr>
            <w:r w:rsidRPr="003305F7">
              <w:rPr>
                <w:rFonts w:asciiTheme="minorHAnsi" w:hAnsiTheme="minorHAnsi" w:cstheme="minorHAnsi"/>
                <w:sz w:val="20"/>
              </w:rPr>
              <w:t>......</w:t>
            </w:r>
          </w:p>
          <w:p w14:paraId="78E24F53" w14:textId="77777777" w:rsidR="007D6C50" w:rsidRPr="003305F7" w:rsidRDefault="007D6C50" w:rsidP="00380FB1">
            <w:pPr>
              <w:pStyle w:val="Text"/>
              <w:widowControl/>
              <w:spacing w:line="240" w:lineRule="auto"/>
              <w:jc w:val="left"/>
              <w:rPr>
                <w:rFonts w:asciiTheme="minorHAnsi" w:hAnsiTheme="minorHAnsi" w:cstheme="minorHAnsi"/>
                <w:sz w:val="20"/>
              </w:rPr>
            </w:pPr>
          </w:p>
        </w:tc>
        <w:tc>
          <w:tcPr>
            <w:tcW w:w="5455" w:type="dxa"/>
            <w:vMerge w:val="restart"/>
            <w:tcBorders>
              <w:top w:val="single" w:sz="6" w:space="0" w:color="auto"/>
              <w:left w:val="single" w:sz="6" w:space="0" w:color="auto"/>
              <w:right w:val="single" w:sz="6" w:space="0" w:color="auto"/>
            </w:tcBorders>
            <w:vAlign w:val="center"/>
          </w:tcPr>
          <w:p w14:paraId="1D0A0DED" w14:textId="083D6D46" w:rsidR="007D6C50" w:rsidRPr="003305F7" w:rsidRDefault="007D6C50" w:rsidP="00380FB1">
            <w:pPr>
              <w:pStyle w:val="Text"/>
              <w:widowControl/>
              <w:spacing w:line="240" w:lineRule="auto"/>
              <w:jc w:val="left"/>
              <w:rPr>
                <w:rFonts w:asciiTheme="minorHAnsi" w:hAnsiTheme="minorHAnsi" w:cstheme="minorHAnsi"/>
                <w:sz w:val="20"/>
              </w:rPr>
            </w:pPr>
            <w:r>
              <w:rPr>
                <w:rFonts w:asciiTheme="minorHAnsi" w:hAnsiTheme="minorHAnsi" w:cstheme="minorHAnsi"/>
                <w:sz w:val="20"/>
              </w:rPr>
              <w:t>Baden-Württemberg-Index</w:t>
            </w:r>
            <w:r>
              <w:rPr>
                <w:rFonts w:asciiTheme="minorHAnsi" w:hAnsiTheme="minorHAnsi" w:cstheme="minorHAnsi"/>
                <w:sz w:val="20"/>
              </w:rPr>
              <w:br/>
              <w:t>ÖPNV Straße</w:t>
            </w:r>
          </w:p>
        </w:tc>
      </w:tr>
      <w:tr w:rsidR="007D6C50" w:rsidRPr="00980CAA" w14:paraId="28C81B8C" w14:textId="77777777" w:rsidTr="009D0608">
        <w:trPr>
          <w:cantSplit/>
        </w:trPr>
        <w:tc>
          <w:tcPr>
            <w:tcW w:w="3014" w:type="dxa"/>
            <w:tcBorders>
              <w:top w:val="single" w:sz="6" w:space="0" w:color="auto"/>
              <w:left w:val="single" w:sz="6" w:space="0" w:color="auto"/>
              <w:bottom w:val="single" w:sz="6" w:space="0" w:color="auto"/>
              <w:right w:val="single" w:sz="6" w:space="0" w:color="auto"/>
            </w:tcBorders>
          </w:tcPr>
          <w:p w14:paraId="14221178" w14:textId="3D0925B9" w:rsidR="007D6C50" w:rsidRPr="003305F7" w:rsidRDefault="007D6C50" w:rsidP="00380FB1">
            <w:pPr>
              <w:pStyle w:val="Text"/>
              <w:widowControl/>
              <w:spacing w:line="240" w:lineRule="auto"/>
              <w:jc w:val="left"/>
              <w:rPr>
                <w:rFonts w:asciiTheme="minorHAnsi" w:hAnsiTheme="minorHAnsi" w:cstheme="minorHAnsi"/>
                <w:sz w:val="20"/>
              </w:rPr>
            </w:pPr>
            <w:r>
              <w:rPr>
                <w:rFonts w:asciiTheme="minorHAnsi" w:hAnsiTheme="minorHAnsi" w:cstheme="minorHAnsi"/>
                <w:sz w:val="20"/>
              </w:rPr>
              <w:t>Kapitalkosten</w:t>
            </w:r>
          </w:p>
          <w:p w14:paraId="7A04D446" w14:textId="77777777" w:rsidR="007D6C50" w:rsidRPr="003305F7" w:rsidRDefault="007D6C50" w:rsidP="00380FB1">
            <w:pPr>
              <w:pStyle w:val="Text"/>
              <w:widowControl/>
              <w:spacing w:line="240" w:lineRule="auto"/>
              <w:jc w:val="left"/>
              <w:rPr>
                <w:rFonts w:asciiTheme="minorHAnsi" w:hAnsiTheme="minorHAnsi" w:cstheme="minorHAnsi"/>
                <w:sz w:val="20"/>
              </w:rPr>
            </w:pPr>
          </w:p>
        </w:tc>
        <w:tc>
          <w:tcPr>
            <w:tcW w:w="603" w:type="dxa"/>
            <w:tcBorders>
              <w:top w:val="single" w:sz="6" w:space="0" w:color="auto"/>
              <w:left w:val="single" w:sz="6" w:space="0" w:color="auto"/>
              <w:bottom w:val="single" w:sz="6" w:space="0" w:color="auto"/>
              <w:right w:val="single" w:sz="6" w:space="0" w:color="auto"/>
            </w:tcBorders>
          </w:tcPr>
          <w:p w14:paraId="26507DAA" w14:textId="77777777" w:rsidR="007D6C50" w:rsidRPr="003305F7" w:rsidRDefault="007D6C50" w:rsidP="00380FB1">
            <w:pPr>
              <w:pStyle w:val="Text"/>
              <w:widowControl/>
              <w:spacing w:line="240" w:lineRule="auto"/>
              <w:jc w:val="left"/>
              <w:rPr>
                <w:rFonts w:asciiTheme="minorHAnsi" w:hAnsiTheme="minorHAnsi" w:cstheme="minorHAnsi"/>
                <w:sz w:val="20"/>
              </w:rPr>
            </w:pPr>
            <w:r w:rsidRPr="003305F7">
              <w:rPr>
                <w:rFonts w:asciiTheme="minorHAnsi" w:hAnsiTheme="minorHAnsi" w:cstheme="minorHAnsi"/>
                <w:sz w:val="20"/>
              </w:rPr>
              <w:t>......</w:t>
            </w:r>
          </w:p>
          <w:p w14:paraId="78F19C86" w14:textId="77777777" w:rsidR="007D6C50" w:rsidRPr="003305F7" w:rsidRDefault="007D6C50" w:rsidP="00380FB1">
            <w:pPr>
              <w:pStyle w:val="Text"/>
              <w:widowControl/>
              <w:spacing w:line="240" w:lineRule="auto"/>
              <w:jc w:val="left"/>
              <w:rPr>
                <w:rFonts w:asciiTheme="minorHAnsi" w:hAnsiTheme="minorHAnsi" w:cstheme="minorHAnsi"/>
                <w:sz w:val="20"/>
              </w:rPr>
            </w:pPr>
          </w:p>
        </w:tc>
        <w:tc>
          <w:tcPr>
            <w:tcW w:w="5455" w:type="dxa"/>
            <w:vMerge/>
            <w:tcBorders>
              <w:left w:val="single" w:sz="6" w:space="0" w:color="auto"/>
              <w:right w:val="single" w:sz="6" w:space="0" w:color="auto"/>
            </w:tcBorders>
          </w:tcPr>
          <w:p w14:paraId="194C8CF4" w14:textId="77777777" w:rsidR="007D6C50" w:rsidRPr="003305F7" w:rsidRDefault="007D6C50" w:rsidP="00380FB1">
            <w:pPr>
              <w:pStyle w:val="Text"/>
              <w:widowControl/>
              <w:spacing w:line="240" w:lineRule="auto"/>
              <w:jc w:val="left"/>
              <w:rPr>
                <w:rFonts w:asciiTheme="minorHAnsi" w:hAnsiTheme="minorHAnsi" w:cstheme="minorHAnsi"/>
                <w:sz w:val="20"/>
              </w:rPr>
            </w:pPr>
          </w:p>
        </w:tc>
      </w:tr>
      <w:tr w:rsidR="007D6C50" w:rsidRPr="00980CAA" w14:paraId="051AC1C2" w14:textId="77777777" w:rsidTr="009D0608">
        <w:trPr>
          <w:cantSplit/>
        </w:trPr>
        <w:tc>
          <w:tcPr>
            <w:tcW w:w="3014" w:type="dxa"/>
            <w:tcBorders>
              <w:top w:val="single" w:sz="6" w:space="0" w:color="auto"/>
              <w:left w:val="single" w:sz="6" w:space="0" w:color="auto"/>
              <w:bottom w:val="single" w:sz="6" w:space="0" w:color="auto"/>
              <w:right w:val="single" w:sz="6" w:space="0" w:color="auto"/>
            </w:tcBorders>
          </w:tcPr>
          <w:p w14:paraId="1FD59876" w14:textId="3AAEE278" w:rsidR="007D6C50" w:rsidRPr="003305F7" w:rsidRDefault="007D6C50" w:rsidP="00380FB1">
            <w:pPr>
              <w:pStyle w:val="Text"/>
              <w:widowControl/>
              <w:spacing w:line="240" w:lineRule="auto"/>
              <w:jc w:val="left"/>
              <w:rPr>
                <w:rFonts w:asciiTheme="minorHAnsi" w:hAnsiTheme="minorHAnsi" w:cstheme="minorHAnsi"/>
                <w:sz w:val="20"/>
              </w:rPr>
            </w:pPr>
            <w:r>
              <w:rPr>
                <w:rFonts w:asciiTheme="minorHAnsi" w:hAnsiTheme="minorHAnsi" w:cstheme="minorHAnsi"/>
                <w:sz w:val="20"/>
              </w:rPr>
              <w:t>Instandhaltung Fahrzeuge</w:t>
            </w:r>
          </w:p>
          <w:p w14:paraId="6046AF19" w14:textId="77777777" w:rsidR="007D6C50" w:rsidRPr="003305F7" w:rsidRDefault="007D6C50" w:rsidP="00380FB1">
            <w:pPr>
              <w:pStyle w:val="Text"/>
              <w:widowControl/>
              <w:spacing w:line="240" w:lineRule="auto"/>
              <w:jc w:val="left"/>
              <w:rPr>
                <w:rFonts w:asciiTheme="minorHAnsi" w:hAnsiTheme="minorHAnsi" w:cstheme="minorHAnsi"/>
                <w:sz w:val="20"/>
              </w:rPr>
            </w:pPr>
          </w:p>
        </w:tc>
        <w:tc>
          <w:tcPr>
            <w:tcW w:w="603" w:type="dxa"/>
            <w:tcBorders>
              <w:top w:val="single" w:sz="6" w:space="0" w:color="auto"/>
              <w:left w:val="single" w:sz="6" w:space="0" w:color="auto"/>
              <w:bottom w:val="single" w:sz="6" w:space="0" w:color="auto"/>
              <w:right w:val="single" w:sz="6" w:space="0" w:color="auto"/>
            </w:tcBorders>
          </w:tcPr>
          <w:p w14:paraId="12B82FD2" w14:textId="77777777" w:rsidR="007D6C50" w:rsidRPr="003305F7" w:rsidRDefault="007D6C50" w:rsidP="00380FB1">
            <w:pPr>
              <w:pStyle w:val="Text"/>
              <w:widowControl/>
              <w:spacing w:line="240" w:lineRule="auto"/>
              <w:jc w:val="left"/>
              <w:rPr>
                <w:rFonts w:asciiTheme="minorHAnsi" w:hAnsiTheme="minorHAnsi" w:cstheme="minorHAnsi"/>
                <w:sz w:val="20"/>
              </w:rPr>
            </w:pPr>
            <w:r w:rsidRPr="003305F7">
              <w:rPr>
                <w:rFonts w:asciiTheme="minorHAnsi" w:hAnsiTheme="minorHAnsi" w:cstheme="minorHAnsi"/>
                <w:sz w:val="20"/>
              </w:rPr>
              <w:t>......</w:t>
            </w:r>
          </w:p>
          <w:p w14:paraId="3F0F47AF" w14:textId="77777777" w:rsidR="007D6C50" w:rsidRPr="003305F7" w:rsidRDefault="007D6C50" w:rsidP="00380FB1">
            <w:pPr>
              <w:pStyle w:val="Text"/>
              <w:widowControl/>
              <w:spacing w:line="240" w:lineRule="auto"/>
              <w:jc w:val="left"/>
              <w:rPr>
                <w:rFonts w:asciiTheme="minorHAnsi" w:hAnsiTheme="minorHAnsi" w:cstheme="minorHAnsi"/>
                <w:sz w:val="20"/>
              </w:rPr>
            </w:pPr>
          </w:p>
        </w:tc>
        <w:tc>
          <w:tcPr>
            <w:tcW w:w="5455" w:type="dxa"/>
            <w:vMerge/>
            <w:tcBorders>
              <w:left w:val="single" w:sz="6" w:space="0" w:color="auto"/>
              <w:right w:val="single" w:sz="6" w:space="0" w:color="auto"/>
            </w:tcBorders>
          </w:tcPr>
          <w:p w14:paraId="483DC77C" w14:textId="7140B81B" w:rsidR="007D6C50" w:rsidRPr="003305F7" w:rsidRDefault="007D6C50" w:rsidP="00380FB1">
            <w:pPr>
              <w:pStyle w:val="Text"/>
              <w:widowControl/>
              <w:spacing w:line="240" w:lineRule="auto"/>
              <w:jc w:val="left"/>
              <w:rPr>
                <w:rFonts w:asciiTheme="minorHAnsi" w:hAnsiTheme="minorHAnsi" w:cstheme="minorHAnsi"/>
                <w:sz w:val="20"/>
              </w:rPr>
            </w:pPr>
          </w:p>
        </w:tc>
      </w:tr>
      <w:tr w:rsidR="007D6C50" w:rsidRPr="00980CAA" w14:paraId="49C879ED" w14:textId="77777777" w:rsidTr="009D0608">
        <w:trPr>
          <w:cantSplit/>
        </w:trPr>
        <w:tc>
          <w:tcPr>
            <w:tcW w:w="3014" w:type="dxa"/>
            <w:tcBorders>
              <w:top w:val="single" w:sz="6" w:space="0" w:color="auto"/>
              <w:left w:val="single" w:sz="6" w:space="0" w:color="auto"/>
              <w:bottom w:val="single" w:sz="6" w:space="0" w:color="auto"/>
              <w:right w:val="single" w:sz="6" w:space="0" w:color="auto"/>
            </w:tcBorders>
          </w:tcPr>
          <w:p w14:paraId="6E87DD8E" w14:textId="57DA9BB7" w:rsidR="007D6C50" w:rsidRPr="003305F7" w:rsidRDefault="007D6C50" w:rsidP="00380FB1">
            <w:pPr>
              <w:pStyle w:val="Text"/>
              <w:widowControl/>
              <w:spacing w:line="240" w:lineRule="auto"/>
              <w:jc w:val="left"/>
              <w:rPr>
                <w:rFonts w:asciiTheme="minorHAnsi" w:hAnsiTheme="minorHAnsi" w:cstheme="minorHAnsi"/>
                <w:sz w:val="20"/>
              </w:rPr>
            </w:pPr>
            <w:r>
              <w:rPr>
                <w:rFonts w:asciiTheme="minorHAnsi" w:hAnsiTheme="minorHAnsi" w:cstheme="minorHAnsi"/>
                <w:sz w:val="20"/>
              </w:rPr>
              <w:t>Treibstoff/Energie</w:t>
            </w:r>
          </w:p>
          <w:p w14:paraId="6D4B859F" w14:textId="77777777" w:rsidR="007D6C50" w:rsidRPr="003305F7" w:rsidRDefault="007D6C50" w:rsidP="00380FB1">
            <w:pPr>
              <w:pStyle w:val="Text"/>
              <w:widowControl/>
              <w:spacing w:line="240" w:lineRule="auto"/>
              <w:jc w:val="left"/>
              <w:rPr>
                <w:rFonts w:asciiTheme="minorHAnsi" w:hAnsiTheme="minorHAnsi" w:cstheme="minorHAnsi"/>
                <w:sz w:val="20"/>
              </w:rPr>
            </w:pPr>
          </w:p>
        </w:tc>
        <w:tc>
          <w:tcPr>
            <w:tcW w:w="603" w:type="dxa"/>
            <w:tcBorders>
              <w:top w:val="single" w:sz="6" w:space="0" w:color="auto"/>
              <w:left w:val="single" w:sz="6" w:space="0" w:color="auto"/>
              <w:bottom w:val="single" w:sz="6" w:space="0" w:color="auto"/>
              <w:right w:val="single" w:sz="6" w:space="0" w:color="auto"/>
            </w:tcBorders>
          </w:tcPr>
          <w:p w14:paraId="05521A7A" w14:textId="77777777" w:rsidR="007D6C50" w:rsidRPr="003305F7" w:rsidRDefault="007D6C50" w:rsidP="00380FB1">
            <w:pPr>
              <w:pStyle w:val="Text"/>
              <w:widowControl/>
              <w:spacing w:line="240" w:lineRule="auto"/>
              <w:jc w:val="left"/>
              <w:rPr>
                <w:rFonts w:asciiTheme="minorHAnsi" w:hAnsiTheme="minorHAnsi" w:cstheme="minorHAnsi"/>
                <w:sz w:val="20"/>
              </w:rPr>
            </w:pPr>
            <w:r w:rsidRPr="003305F7">
              <w:rPr>
                <w:rFonts w:asciiTheme="minorHAnsi" w:hAnsiTheme="minorHAnsi" w:cstheme="minorHAnsi"/>
                <w:sz w:val="20"/>
              </w:rPr>
              <w:t>......</w:t>
            </w:r>
          </w:p>
          <w:p w14:paraId="39CE7B95" w14:textId="77777777" w:rsidR="007D6C50" w:rsidRPr="003305F7" w:rsidRDefault="007D6C50" w:rsidP="00380FB1">
            <w:pPr>
              <w:pStyle w:val="Text"/>
              <w:widowControl/>
              <w:spacing w:line="240" w:lineRule="auto"/>
              <w:jc w:val="left"/>
              <w:rPr>
                <w:rFonts w:asciiTheme="minorHAnsi" w:hAnsiTheme="minorHAnsi" w:cstheme="minorHAnsi"/>
                <w:sz w:val="20"/>
              </w:rPr>
            </w:pPr>
          </w:p>
        </w:tc>
        <w:tc>
          <w:tcPr>
            <w:tcW w:w="5455" w:type="dxa"/>
            <w:vMerge/>
            <w:tcBorders>
              <w:left w:val="single" w:sz="6" w:space="0" w:color="auto"/>
              <w:right w:val="single" w:sz="6" w:space="0" w:color="auto"/>
            </w:tcBorders>
          </w:tcPr>
          <w:p w14:paraId="4167E4FC" w14:textId="5AE3DF84" w:rsidR="007D6C50" w:rsidRPr="003305F7" w:rsidRDefault="007D6C50" w:rsidP="00380FB1">
            <w:pPr>
              <w:pStyle w:val="Text"/>
              <w:widowControl/>
              <w:spacing w:line="240" w:lineRule="auto"/>
              <w:jc w:val="left"/>
              <w:rPr>
                <w:rFonts w:asciiTheme="minorHAnsi" w:hAnsiTheme="minorHAnsi" w:cstheme="minorHAnsi"/>
                <w:sz w:val="20"/>
              </w:rPr>
            </w:pPr>
          </w:p>
        </w:tc>
      </w:tr>
      <w:tr w:rsidR="007D6C50" w:rsidRPr="00980CAA" w14:paraId="5835FC64" w14:textId="77777777" w:rsidTr="009D0608">
        <w:trPr>
          <w:cantSplit/>
        </w:trPr>
        <w:tc>
          <w:tcPr>
            <w:tcW w:w="3014" w:type="dxa"/>
            <w:tcBorders>
              <w:top w:val="single" w:sz="6" w:space="0" w:color="auto"/>
              <w:left w:val="single" w:sz="6" w:space="0" w:color="auto"/>
              <w:bottom w:val="single" w:sz="6" w:space="0" w:color="auto"/>
              <w:right w:val="single" w:sz="6" w:space="0" w:color="auto"/>
            </w:tcBorders>
          </w:tcPr>
          <w:p w14:paraId="2AFA65E5" w14:textId="43053E3C" w:rsidR="007D6C50" w:rsidRPr="003305F7" w:rsidRDefault="007D6C50" w:rsidP="00380FB1">
            <w:pPr>
              <w:pStyle w:val="Text"/>
              <w:widowControl/>
              <w:spacing w:line="240" w:lineRule="auto"/>
              <w:jc w:val="left"/>
              <w:rPr>
                <w:rFonts w:asciiTheme="minorHAnsi" w:hAnsiTheme="minorHAnsi" w:cstheme="minorHAnsi"/>
                <w:sz w:val="20"/>
              </w:rPr>
            </w:pPr>
            <w:r>
              <w:rPr>
                <w:rFonts w:asciiTheme="minorHAnsi" w:hAnsiTheme="minorHAnsi" w:cstheme="minorHAnsi"/>
                <w:sz w:val="20"/>
              </w:rPr>
              <w:t>Sonstige Kostenansätze</w:t>
            </w:r>
          </w:p>
          <w:p w14:paraId="6323D223" w14:textId="77777777" w:rsidR="007D6C50" w:rsidRPr="003305F7" w:rsidRDefault="007D6C50" w:rsidP="00380FB1">
            <w:pPr>
              <w:pStyle w:val="Text"/>
              <w:widowControl/>
              <w:spacing w:line="240" w:lineRule="auto"/>
              <w:jc w:val="left"/>
              <w:rPr>
                <w:rFonts w:asciiTheme="minorHAnsi" w:hAnsiTheme="minorHAnsi" w:cstheme="minorHAnsi"/>
                <w:sz w:val="20"/>
              </w:rPr>
            </w:pPr>
          </w:p>
        </w:tc>
        <w:tc>
          <w:tcPr>
            <w:tcW w:w="603" w:type="dxa"/>
            <w:tcBorders>
              <w:top w:val="single" w:sz="6" w:space="0" w:color="auto"/>
              <w:left w:val="single" w:sz="6" w:space="0" w:color="auto"/>
              <w:bottom w:val="single" w:sz="6" w:space="0" w:color="auto"/>
              <w:right w:val="single" w:sz="6" w:space="0" w:color="auto"/>
            </w:tcBorders>
          </w:tcPr>
          <w:p w14:paraId="704181A5" w14:textId="77777777" w:rsidR="007D6C50" w:rsidRPr="003305F7" w:rsidRDefault="007D6C50" w:rsidP="00380FB1">
            <w:pPr>
              <w:pStyle w:val="Text"/>
              <w:widowControl/>
              <w:spacing w:line="240" w:lineRule="auto"/>
              <w:jc w:val="left"/>
              <w:rPr>
                <w:rFonts w:asciiTheme="minorHAnsi" w:hAnsiTheme="minorHAnsi" w:cstheme="minorHAnsi"/>
                <w:sz w:val="20"/>
              </w:rPr>
            </w:pPr>
            <w:r w:rsidRPr="003305F7">
              <w:rPr>
                <w:rFonts w:asciiTheme="minorHAnsi" w:hAnsiTheme="minorHAnsi" w:cstheme="minorHAnsi"/>
                <w:sz w:val="20"/>
              </w:rPr>
              <w:t>......</w:t>
            </w:r>
          </w:p>
          <w:p w14:paraId="1C179D97" w14:textId="77777777" w:rsidR="007D6C50" w:rsidRPr="003305F7" w:rsidRDefault="007D6C50" w:rsidP="00380FB1">
            <w:pPr>
              <w:pStyle w:val="Text"/>
              <w:widowControl/>
              <w:spacing w:line="240" w:lineRule="auto"/>
              <w:jc w:val="left"/>
              <w:rPr>
                <w:rFonts w:asciiTheme="minorHAnsi" w:hAnsiTheme="minorHAnsi" w:cstheme="minorHAnsi"/>
                <w:sz w:val="20"/>
              </w:rPr>
            </w:pPr>
          </w:p>
        </w:tc>
        <w:tc>
          <w:tcPr>
            <w:tcW w:w="5455" w:type="dxa"/>
            <w:vMerge/>
            <w:tcBorders>
              <w:left w:val="single" w:sz="6" w:space="0" w:color="auto"/>
              <w:bottom w:val="single" w:sz="6" w:space="0" w:color="auto"/>
              <w:right w:val="single" w:sz="6" w:space="0" w:color="auto"/>
            </w:tcBorders>
          </w:tcPr>
          <w:p w14:paraId="51056D11" w14:textId="7302A098" w:rsidR="007D6C50" w:rsidRPr="003305F7" w:rsidRDefault="007D6C50" w:rsidP="00380FB1">
            <w:pPr>
              <w:pStyle w:val="Text"/>
              <w:widowControl/>
              <w:spacing w:line="240" w:lineRule="auto"/>
              <w:jc w:val="left"/>
              <w:rPr>
                <w:rFonts w:asciiTheme="minorHAnsi" w:hAnsiTheme="minorHAnsi" w:cstheme="minorHAnsi"/>
                <w:sz w:val="20"/>
              </w:rPr>
            </w:pPr>
          </w:p>
        </w:tc>
      </w:tr>
    </w:tbl>
    <w:p w14:paraId="46DC1B04" w14:textId="77777777" w:rsidR="00481D06" w:rsidRPr="00912152" w:rsidRDefault="00481D06" w:rsidP="00481D06">
      <w:pPr>
        <w:jc w:val="both"/>
        <w:rPr>
          <w:rFonts w:cstheme="minorHAnsi"/>
          <w:szCs w:val="24"/>
        </w:rPr>
      </w:pPr>
    </w:p>
    <w:p w14:paraId="0505507F" w14:textId="77777777" w:rsidR="00481D06" w:rsidRDefault="00481D06" w:rsidP="00481D06">
      <w:pPr>
        <w:spacing w:after="200" w:line="276" w:lineRule="auto"/>
        <w:rPr>
          <w:rFonts w:cstheme="minorHAnsi"/>
          <w:szCs w:val="24"/>
        </w:rPr>
      </w:pPr>
    </w:p>
    <w:sectPr w:rsidR="00481D06" w:rsidSect="00DB213C">
      <w:pgSz w:w="11906" w:h="16838" w:code="9"/>
      <w:pgMar w:top="1417" w:right="1417" w:bottom="1134" w:left="1417"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4D36D" w14:textId="77777777" w:rsidR="00481D06" w:rsidRDefault="00481D06" w:rsidP="00481D06">
      <w:pPr>
        <w:spacing w:after="0" w:line="240" w:lineRule="auto"/>
      </w:pPr>
      <w:r>
        <w:separator/>
      </w:r>
    </w:p>
  </w:endnote>
  <w:endnote w:type="continuationSeparator" w:id="0">
    <w:p w14:paraId="43E74E87" w14:textId="77777777" w:rsidR="00481D06" w:rsidRDefault="00481D06" w:rsidP="0048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8D30" w14:textId="77777777" w:rsidR="00481D06" w:rsidRDefault="00481D06" w:rsidP="00481D06">
      <w:pPr>
        <w:spacing w:after="0" w:line="240" w:lineRule="auto"/>
      </w:pPr>
      <w:r>
        <w:separator/>
      </w:r>
    </w:p>
  </w:footnote>
  <w:footnote w:type="continuationSeparator" w:id="0">
    <w:p w14:paraId="01B1200B" w14:textId="77777777" w:rsidR="00481D06" w:rsidRDefault="00481D06" w:rsidP="00481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06"/>
    <w:rsid w:val="003147FE"/>
    <w:rsid w:val="00327C7B"/>
    <w:rsid w:val="00344AE8"/>
    <w:rsid w:val="00420909"/>
    <w:rsid w:val="00427A02"/>
    <w:rsid w:val="00481D06"/>
    <w:rsid w:val="006F02B6"/>
    <w:rsid w:val="007D6C50"/>
    <w:rsid w:val="00826059"/>
    <w:rsid w:val="008645DD"/>
    <w:rsid w:val="009C2568"/>
    <w:rsid w:val="00A358A2"/>
    <w:rsid w:val="00BA4347"/>
    <w:rsid w:val="00D94127"/>
    <w:rsid w:val="00DB213C"/>
    <w:rsid w:val="00E56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1A98"/>
  <w15:chartTrackingRefBased/>
  <w15:docId w15:val="{99C90C5F-BC04-47F1-A037-63FE50C7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0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semiHidden/>
    <w:unhideWhenUsed/>
    <w:rsid w:val="00481D06"/>
    <w:rPr>
      <w:vertAlign w:val="superscript"/>
    </w:rPr>
  </w:style>
  <w:style w:type="paragraph" w:styleId="Listenabsatz">
    <w:name w:val="List Paragraph"/>
    <w:basedOn w:val="Standard"/>
    <w:uiPriority w:val="34"/>
    <w:qFormat/>
    <w:rsid w:val="00481D06"/>
    <w:pPr>
      <w:ind w:left="720"/>
      <w:contextualSpacing/>
    </w:pPr>
  </w:style>
  <w:style w:type="character" w:customStyle="1" w:styleId="FormatvorlageFrutigerLT55Roman">
    <w:name w:val="Formatvorlage Frutiger LT 55 Roman"/>
    <w:rsid w:val="00481D06"/>
    <w:rPr>
      <w:rFonts w:ascii="Frutiger LT 55 Roman" w:hAnsi="Frutiger LT 55 Roman"/>
      <w:dstrike w:val="0"/>
      <w:sz w:val="24"/>
      <w:szCs w:val="24"/>
      <w:vertAlign w:val="baseline"/>
    </w:rPr>
  </w:style>
  <w:style w:type="paragraph" w:customStyle="1" w:styleId="Funote">
    <w:name w:val="Fußnote"/>
    <w:basedOn w:val="Funotentext"/>
    <w:link w:val="FunoteZchn"/>
    <w:qFormat/>
    <w:rsid w:val="00481D06"/>
    <w:rPr>
      <w:rFonts w:ascii="Calibri" w:eastAsia="Times New Roman" w:hAnsi="Calibri" w:cstheme="minorHAnsi"/>
      <w:lang w:eastAsia="de-DE"/>
    </w:rPr>
  </w:style>
  <w:style w:type="character" w:customStyle="1" w:styleId="FunoteZchn">
    <w:name w:val="Fußnote Zchn"/>
    <w:basedOn w:val="FunotentextZchn"/>
    <w:link w:val="Funote"/>
    <w:rsid w:val="00481D06"/>
    <w:rPr>
      <w:rFonts w:ascii="Calibri" w:eastAsia="Times New Roman" w:hAnsi="Calibri" w:cstheme="minorHAnsi"/>
      <w:sz w:val="20"/>
      <w:szCs w:val="20"/>
      <w:lang w:eastAsia="de-DE"/>
    </w:rPr>
  </w:style>
  <w:style w:type="paragraph" w:styleId="Funotentext">
    <w:name w:val="footnote text"/>
    <w:basedOn w:val="Standard"/>
    <w:link w:val="FunotentextZchn"/>
    <w:uiPriority w:val="99"/>
    <w:semiHidden/>
    <w:unhideWhenUsed/>
    <w:rsid w:val="00481D0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1D06"/>
    <w:rPr>
      <w:sz w:val="20"/>
      <w:szCs w:val="20"/>
    </w:rPr>
  </w:style>
  <w:style w:type="paragraph" w:customStyle="1" w:styleId="Text">
    <w:name w:val="Text"/>
    <w:rsid w:val="00481D06"/>
    <w:pPr>
      <w:widowControl w:val="0"/>
      <w:overflowPunct w:val="0"/>
      <w:autoSpaceDE w:val="0"/>
      <w:autoSpaceDN w:val="0"/>
      <w:adjustRightInd w:val="0"/>
      <w:spacing w:after="0" w:line="360" w:lineRule="auto"/>
      <w:jc w:val="both"/>
      <w:textAlignment w:val="baseline"/>
    </w:pPr>
    <w:rPr>
      <w:rFonts w:ascii="Arial" w:eastAsia="Times New Roman" w:hAnsi="Arial"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2837</Characters>
  <Application>Microsoft Office Word</Application>
  <DocSecurity>0</DocSecurity>
  <Lines>109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Zuck</dc:creator>
  <cp:keywords/>
  <dc:description/>
  <cp:lastModifiedBy>Schulze-Pilz Nora</cp:lastModifiedBy>
  <cp:revision>3</cp:revision>
  <dcterms:created xsi:type="dcterms:W3CDTF">2022-02-16T14:08:00Z</dcterms:created>
  <dcterms:modified xsi:type="dcterms:W3CDTF">2022-02-16T14:11:00Z</dcterms:modified>
</cp:coreProperties>
</file>